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7846" w14:textId="2A719608" w:rsidR="00791E08" w:rsidRPr="00791E08" w:rsidRDefault="00791E08" w:rsidP="00791E08">
      <w:pPr>
        <w:pStyle w:val="Header"/>
        <w:tabs>
          <w:tab w:val="right" w:pos="9641"/>
        </w:tabs>
        <w:rPr>
          <w:bCs/>
          <w:sz w:val="24"/>
          <w:szCs w:val="24"/>
          <w:lang w:val="en-US"/>
        </w:rPr>
      </w:pPr>
      <w:r w:rsidRPr="00791E08">
        <w:rPr>
          <w:bCs/>
          <w:sz w:val="24"/>
          <w:szCs w:val="24"/>
        </w:rPr>
        <w:t>3GPP TSG-RAN WG2 Meeting #129bis</w:t>
      </w:r>
      <w:r w:rsidRPr="00791E08">
        <w:rPr>
          <w:bCs/>
          <w:sz w:val="24"/>
          <w:szCs w:val="24"/>
          <w:lang w:val="en-US"/>
        </w:rPr>
        <w:tab/>
      </w:r>
      <w:r w:rsidRPr="00791E08">
        <w:rPr>
          <w:bCs/>
          <w:sz w:val="24"/>
          <w:szCs w:val="24"/>
        </w:rPr>
        <w:t>R2-250</w:t>
      </w:r>
      <w:r w:rsidR="00652764">
        <w:rPr>
          <w:rFonts w:hint="eastAsia"/>
          <w:bCs/>
          <w:sz w:val="24"/>
          <w:szCs w:val="24"/>
          <w:lang w:eastAsia="zh-CN"/>
        </w:rPr>
        <w:t>2100</w:t>
      </w:r>
      <w:r w:rsidRPr="00791E08">
        <w:rPr>
          <w:bCs/>
          <w:sz w:val="24"/>
          <w:szCs w:val="24"/>
          <w:lang w:val="en-US"/>
        </w:rPr>
        <w:t> </w:t>
      </w:r>
    </w:p>
    <w:p w14:paraId="6152030C" w14:textId="77777777" w:rsidR="00791E08" w:rsidRPr="00791E08" w:rsidRDefault="00791E08" w:rsidP="00791E08">
      <w:pPr>
        <w:pStyle w:val="Header"/>
        <w:tabs>
          <w:tab w:val="right" w:pos="9641"/>
        </w:tabs>
        <w:rPr>
          <w:bCs/>
          <w:sz w:val="24"/>
          <w:szCs w:val="24"/>
          <w:lang w:val="en-US"/>
        </w:rPr>
      </w:pPr>
      <w:r w:rsidRPr="00791E08">
        <w:rPr>
          <w:bCs/>
          <w:sz w:val="24"/>
          <w:szCs w:val="24"/>
        </w:rPr>
        <w:t>Wuhan, China, 07 – 11 April 202</w:t>
      </w:r>
    </w:p>
    <w:p w14:paraId="3723E1D3" w14:textId="792ACE5D" w:rsidR="005432D9" w:rsidRPr="005A5862" w:rsidRDefault="00163A64" w:rsidP="00541A65">
      <w:pPr>
        <w:pStyle w:val="Header"/>
        <w:tabs>
          <w:tab w:val="right" w:pos="9641"/>
        </w:tabs>
        <w:rPr>
          <w:bCs/>
          <w:sz w:val="24"/>
          <w:szCs w:val="24"/>
          <w:lang w:eastAsia="zh-CN"/>
        </w:rPr>
      </w:pPr>
      <w:r>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21BDF296" w:rsidR="008B549E" w:rsidRPr="00792BEF" w:rsidRDefault="008B549E" w:rsidP="008B549E">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792BEF">
        <w:rPr>
          <w:rFonts w:eastAsia="宋体" w:cs="Arial" w:hint="eastAsia"/>
          <w:b/>
          <w:bCs/>
          <w:sz w:val="24"/>
          <w:lang w:eastAsia="zh-CN"/>
        </w:rPr>
        <w:t>8</w:t>
      </w:r>
      <w:r>
        <w:rPr>
          <w:rFonts w:cs="Arial"/>
          <w:b/>
          <w:bCs/>
          <w:sz w:val="24"/>
          <w:lang w:eastAsia="ja-JP"/>
        </w:rPr>
        <w:t>.</w:t>
      </w:r>
      <w:r w:rsidR="00792BEF">
        <w:rPr>
          <w:rFonts w:eastAsia="宋体" w:cs="Arial" w:hint="eastAsia"/>
          <w:b/>
          <w:bCs/>
          <w:sz w:val="24"/>
          <w:lang w:eastAsia="zh-CN"/>
        </w:rPr>
        <w:t>17</w:t>
      </w:r>
    </w:p>
    <w:p w14:paraId="0EC781B3" w14:textId="4B958F37" w:rsidR="008B549E" w:rsidRPr="00B266B0" w:rsidRDefault="008B549E" w:rsidP="008B549E">
      <w:pPr>
        <w:tabs>
          <w:tab w:val="left" w:pos="1985"/>
        </w:tabs>
        <w:ind w:left="1985" w:hanging="1985"/>
        <w:rPr>
          <w:rFonts w:ascii="Arial" w:hAnsi="Arial" w:cs="Arial"/>
          <w:b/>
          <w:bCs/>
          <w:sz w:val="24"/>
          <w:lang w:eastAsia="zh-CN"/>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792BEF">
        <w:rPr>
          <w:rFonts w:ascii="Arial" w:hAnsi="Arial" w:cs="Arial" w:hint="eastAsia"/>
          <w:b/>
          <w:bCs/>
          <w:sz w:val="24"/>
          <w:lang w:eastAsia="zh-CN"/>
        </w:rPr>
        <w:t>, Nokia Shanghai Bell</w:t>
      </w:r>
    </w:p>
    <w:p w14:paraId="16C775DD" w14:textId="27890D95" w:rsidR="008B549E" w:rsidRDefault="008B549E" w:rsidP="008B549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B8214B">
        <w:rPr>
          <w:rFonts w:ascii="Arial" w:hAnsi="Arial" w:cs="Arial" w:hint="eastAsia"/>
          <w:b/>
          <w:bCs/>
          <w:sz w:val="24"/>
          <w:lang w:eastAsia="zh-CN"/>
        </w:rPr>
        <w:t>D</w:t>
      </w:r>
      <w:r w:rsidR="00792BEF">
        <w:rPr>
          <w:rFonts w:ascii="Arial" w:hAnsi="Arial" w:cs="Arial" w:hint="eastAsia"/>
          <w:b/>
          <w:bCs/>
          <w:sz w:val="24"/>
          <w:lang w:eastAsia="zh-CN"/>
        </w:rPr>
        <w:t>iscussion on support of TDD mode for IoT-NTN</w:t>
      </w:r>
    </w:p>
    <w:p w14:paraId="7D015DD9" w14:textId="310F2287" w:rsidR="008B549E" w:rsidRPr="00B266B0" w:rsidRDefault="008B549E" w:rsidP="008B549E">
      <w:pPr>
        <w:ind w:left="1985" w:hanging="1985"/>
        <w:rPr>
          <w:rFonts w:ascii="Arial" w:hAnsi="Arial" w:cs="Arial"/>
          <w:b/>
          <w:bCs/>
          <w:sz w:val="24"/>
          <w:lang w:eastAsia="zh-CN"/>
        </w:rPr>
      </w:pPr>
      <w:r>
        <w:rPr>
          <w:rFonts w:ascii="Arial" w:hAnsi="Arial" w:cs="Arial"/>
          <w:b/>
          <w:bCs/>
          <w:sz w:val="24"/>
        </w:rPr>
        <w:t>WID/SID:</w:t>
      </w:r>
      <w:r>
        <w:rPr>
          <w:rFonts w:ascii="Arial" w:hAnsi="Arial" w:cs="Arial"/>
          <w:b/>
          <w:bCs/>
          <w:sz w:val="24"/>
        </w:rPr>
        <w:tab/>
      </w:r>
      <w:r w:rsidR="00792BEF" w:rsidRPr="00792BEF">
        <w:rPr>
          <w:rFonts w:ascii="Arial" w:hAnsi="Arial" w:cs="Arial"/>
          <w:b/>
          <w:bCs/>
          <w:sz w:val="24"/>
        </w:rPr>
        <w:t>IoT_NTN_TDD</w:t>
      </w:r>
      <w:r w:rsidRPr="00112F1A">
        <w:rPr>
          <w:rFonts w:ascii="Arial" w:hAnsi="Arial" w:cs="Arial"/>
          <w:b/>
          <w:bCs/>
          <w:sz w:val="24"/>
        </w:rPr>
        <w:t xml:space="preserve"> </w:t>
      </w:r>
      <w:r>
        <w:rPr>
          <w:rFonts w:ascii="Arial" w:hAnsi="Arial" w:cs="Arial"/>
          <w:b/>
          <w:bCs/>
          <w:sz w:val="24"/>
        </w:rPr>
        <w:t xml:space="preserve">- Release </w:t>
      </w:r>
      <w:r w:rsidR="00792BEF">
        <w:rPr>
          <w:rFonts w:ascii="Arial" w:hAnsi="Arial" w:cs="Arial" w:hint="eastAsia"/>
          <w:b/>
          <w:bCs/>
          <w:sz w:val="24"/>
          <w:lang w:eastAsia="zh-CN"/>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376FD59C" w14:textId="329F29C4" w:rsidR="007A6C62" w:rsidRDefault="007A6C62" w:rsidP="008B549E">
      <w:r>
        <w:t xml:space="preserve">At RAN #106 the work item on </w:t>
      </w:r>
      <w:r w:rsidR="00E4142A">
        <w:t>NB-IoT TDD NTN mode</w:t>
      </w:r>
      <w:r w:rsidR="00E905A8">
        <w:t xml:space="preserve"> </w:t>
      </w:r>
      <w:r w:rsidR="00C536FD">
        <w:t>[</w:t>
      </w:r>
      <w:r w:rsidR="00C536FD">
        <w:fldChar w:fldCharType="begin"/>
      </w:r>
      <w:r w:rsidR="00C536FD">
        <w:instrText xml:space="preserve"> REF _Ref189662008 \r </w:instrText>
      </w:r>
      <w:r w:rsidR="00C536FD">
        <w:fldChar w:fldCharType="separate"/>
      </w:r>
      <w:r w:rsidR="00C536FD">
        <w:t>1</w:t>
      </w:r>
      <w:r w:rsidR="00C536FD">
        <w:fldChar w:fldCharType="end"/>
      </w:r>
      <w:r w:rsidR="00C536FD">
        <w:t>]</w:t>
      </w:r>
      <w:r w:rsidR="00E4142A">
        <w:t xml:space="preserve"> was agreed with the following </w:t>
      </w:r>
      <w:r w:rsidR="00524BCD">
        <w:t>objective</w:t>
      </w:r>
      <w:r w:rsidR="00D17214">
        <w:t>:</w:t>
      </w:r>
    </w:p>
    <w:tbl>
      <w:tblPr>
        <w:tblStyle w:val="TableGrid"/>
        <w:tblW w:w="0" w:type="auto"/>
        <w:tblLook w:val="04A0" w:firstRow="1" w:lastRow="0" w:firstColumn="1" w:lastColumn="0" w:noHBand="0" w:noVBand="1"/>
      </w:tblPr>
      <w:tblGrid>
        <w:gridCol w:w="9631"/>
      </w:tblGrid>
      <w:tr w:rsidR="006F3EC4" w14:paraId="2C071F9E" w14:textId="77777777" w:rsidTr="006F3EC4">
        <w:tc>
          <w:tcPr>
            <w:tcW w:w="9631" w:type="dxa"/>
          </w:tcPr>
          <w:p w14:paraId="63CC937E" w14:textId="77777777" w:rsidR="006F3EC4" w:rsidRPr="009872B9" w:rsidRDefault="006F3EC4" w:rsidP="006F3EC4">
            <w:pPr>
              <w:numPr>
                <w:ilvl w:val="0"/>
                <w:numId w:val="18"/>
              </w:numPr>
            </w:pPr>
            <w:r w:rsidRPr="009872B9">
              <w:t>Specify a new NB-IoT TDD NTN mode based on minimum necessary changes to the NB-IoT NTN FDD frame structure and procedures,  including:</w:t>
            </w:r>
          </w:p>
          <w:p w14:paraId="3A432A68" w14:textId="77777777" w:rsidR="006F3EC4" w:rsidRPr="009872B9" w:rsidRDefault="006F3EC4" w:rsidP="006F3EC4">
            <w:pPr>
              <w:numPr>
                <w:ilvl w:val="1"/>
                <w:numId w:val="19"/>
              </w:numPr>
            </w:pPr>
            <w:r w:rsidRPr="009872B9">
              <w:t>Definition, configuration (if needed) and signaling (if needed) of the periodic pattern, necessary adaptation (if needed) and associated UE procedures [RAN1, RAN2]</w:t>
            </w:r>
          </w:p>
          <w:p w14:paraId="3DBEA542" w14:textId="77777777" w:rsidR="006F3EC4" w:rsidRPr="009872B9" w:rsidRDefault="006F3EC4" w:rsidP="006F3EC4">
            <w:pPr>
              <w:numPr>
                <w:ilvl w:val="3"/>
                <w:numId w:val="19"/>
              </w:numPr>
            </w:pPr>
            <w:r w:rsidRPr="009872B9">
              <w:t>Support a pattern with a period of 9 radio frames for the target MSS allocated band, where D=U=8 with a fixed guard period.RAN1 to consider whether there is a need for a mechanism to achieve an adjustable guard period for the purpose of allowing deployment with the TDD frame structure of the legacy system operating in the target MSS allocated band.</w:t>
            </w:r>
          </w:p>
          <w:p w14:paraId="55D6A7C5" w14:textId="77777777" w:rsidR="006F3EC4" w:rsidRPr="009872B9" w:rsidRDefault="006F3EC4" w:rsidP="006F3EC4">
            <w:pPr>
              <w:numPr>
                <w:ilvl w:val="1"/>
                <w:numId w:val="19"/>
              </w:numPr>
            </w:pPr>
            <w:r w:rsidRPr="009872B9">
              <w:t>Other necessary impacts on higher layers [RAN2]</w:t>
            </w:r>
          </w:p>
          <w:p w14:paraId="7F5647A2" w14:textId="2218FB11" w:rsidR="006F3EC4" w:rsidRPr="009872B9" w:rsidRDefault="006F3EC4" w:rsidP="008B549E">
            <w:pPr>
              <w:numPr>
                <w:ilvl w:val="1"/>
                <w:numId w:val="19"/>
              </w:numPr>
            </w:pPr>
            <w:r w:rsidRPr="009872B9">
              <w:t>RRM and RF core requirements [RAN4]</w:t>
            </w:r>
          </w:p>
        </w:tc>
      </w:tr>
    </w:tbl>
    <w:p w14:paraId="41CB7FB9" w14:textId="77777777" w:rsidR="00E227A2" w:rsidRPr="00E227A2" w:rsidRDefault="00E227A2" w:rsidP="008B549E">
      <w:pPr>
        <w:rPr>
          <w:sz w:val="2"/>
          <w:szCs w:val="2"/>
        </w:rPr>
      </w:pPr>
    </w:p>
    <w:p w14:paraId="73289D3E" w14:textId="371204B1" w:rsidR="007755D9" w:rsidRDefault="007755D9" w:rsidP="008B549E">
      <w:r>
        <w:t>At RAN2 #129 the following was agreed:</w:t>
      </w:r>
    </w:p>
    <w:tbl>
      <w:tblPr>
        <w:tblStyle w:val="TableGrid"/>
        <w:tblW w:w="0" w:type="auto"/>
        <w:tblLook w:val="04A0" w:firstRow="1" w:lastRow="0" w:firstColumn="1" w:lastColumn="0" w:noHBand="0" w:noVBand="1"/>
      </w:tblPr>
      <w:tblGrid>
        <w:gridCol w:w="9631"/>
      </w:tblGrid>
      <w:tr w:rsidR="007755D9" w14:paraId="7DF8E5E6" w14:textId="77777777" w:rsidTr="007755D9">
        <w:tc>
          <w:tcPr>
            <w:tcW w:w="9631" w:type="dxa"/>
          </w:tcPr>
          <w:p w14:paraId="02A1654B" w14:textId="77777777" w:rsidR="007755D9" w:rsidRDefault="007755D9" w:rsidP="007755D9">
            <w:r>
              <w:t>Agreements:</w:t>
            </w:r>
          </w:p>
          <w:p w14:paraId="04B7AA1E" w14:textId="77777777" w:rsidR="007755D9" w:rsidRDefault="007755D9" w:rsidP="007755D9">
            <w:r>
              <w:t>1.</w:t>
            </w:r>
            <w:r>
              <w:tab/>
              <w:t>RAN2 will continue studying paging aspects based, on RAN1 progress</w:t>
            </w:r>
          </w:p>
          <w:p w14:paraId="1505F966" w14:textId="77777777" w:rsidR="007755D9" w:rsidRDefault="007755D9" w:rsidP="007755D9">
            <w:r>
              <w:t>2.</w:t>
            </w:r>
            <w:r>
              <w:tab/>
              <w:t>RAN2 assumes Kmac has to be extended (or a new parameter with higher range introduced) to address the case where the number of hops exceeds a certain limit. We continue the discussion in the next meeting to investigate if there are any other implications and in case of any decisions we send an LS to other groups if needed.</w:t>
            </w:r>
          </w:p>
          <w:p w14:paraId="213D86E1" w14:textId="77777777" w:rsidR="007755D9" w:rsidRDefault="007755D9" w:rsidP="007755D9">
            <w:r>
              <w:t>3.</w:t>
            </w:r>
            <w:r>
              <w:tab/>
              <w:t>RAN2 confirms that idle mode eDRX is supported in IoT-NTN TDD network.</w:t>
            </w:r>
          </w:p>
          <w:p w14:paraId="506C1F3F" w14:textId="77777777" w:rsidR="007755D9" w:rsidRDefault="007755D9" w:rsidP="007755D9">
            <w:r>
              <w:t>4.</w:t>
            </w:r>
            <w:r>
              <w:tab/>
              <w:t>RAN2 thinks that a change of H-SFN duration (Option 1-1) and/or H-SFN total number (option 2-2) will impact RAN2 and SA2 specification regarding the support of idle mode eDRX in IoT-NTN TDD network and the impact should be evaluated.</w:t>
            </w:r>
          </w:p>
          <w:p w14:paraId="5EF78A3D" w14:textId="77777777" w:rsidR="007755D9" w:rsidRDefault="007755D9" w:rsidP="007755D9">
            <w:r>
              <w:t>5.</w:t>
            </w:r>
            <w:r>
              <w:tab/>
              <w:t xml:space="preserve">RAN2 assumes that legacy coverage enhancement techniques (i.e. transmission with repetitions) are supported in IoT-NTN TDD system. </w:t>
            </w:r>
          </w:p>
          <w:p w14:paraId="597F404B" w14:textId="77777777" w:rsidR="007755D9" w:rsidRDefault="007755D9" w:rsidP="007755D9">
            <w:r>
              <w:t>6.</w:t>
            </w:r>
            <w:r>
              <w:tab/>
              <w:t xml:space="preserve">RAN2 can continue the discussion also on RAR window </w:t>
            </w:r>
          </w:p>
          <w:p w14:paraId="719F0E6A" w14:textId="01D259F0" w:rsidR="007755D9" w:rsidRDefault="007755D9" w:rsidP="007755D9">
            <w:r>
              <w:t>7.</w:t>
            </w:r>
            <w:r>
              <w:tab/>
              <w:t>Legacy barring bit will be used (FFS is cellBarred or cellBarred-NTN)</w:t>
            </w:r>
          </w:p>
        </w:tc>
      </w:tr>
    </w:tbl>
    <w:p w14:paraId="5800EC01" w14:textId="77777777" w:rsidR="007755D9" w:rsidRPr="00ED1142" w:rsidRDefault="007755D9" w:rsidP="008B549E">
      <w:pPr>
        <w:rPr>
          <w:sz w:val="2"/>
          <w:szCs w:val="2"/>
        </w:rPr>
      </w:pPr>
    </w:p>
    <w:p w14:paraId="0D91D783" w14:textId="63D4BB77" w:rsidR="008B549E" w:rsidRDefault="00C536FD" w:rsidP="008B549E">
      <w:r>
        <w:t>In this contribution we discuss aspects of TDD NTN mode, which impacts RAN2.</w:t>
      </w:r>
    </w:p>
    <w:p w14:paraId="2F0575B0" w14:textId="7E794868" w:rsidR="008B549E" w:rsidRPr="006E13D1" w:rsidRDefault="008B549E" w:rsidP="008B549E">
      <w:pPr>
        <w:pStyle w:val="Heading1"/>
      </w:pPr>
      <w:r w:rsidRPr="006E13D1">
        <w:lastRenderedPageBreak/>
        <w:t>2</w:t>
      </w:r>
      <w:r w:rsidRPr="006E13D1">
        <w:tab/>
      </w:r>
      <w:r w:rsidR="005C625D">
        <w:t>Discussion</w:t>
      </w:r>
    </w:p>
    <w:p w14:paraId="72270E46" w14:textId="6FB71D22" w:rsidR="008B549E" w:rsidRPr="006E13D1" w:rsidRDefault="003975B1" w:rsidP="008B549E">
      <w:r>
        <w:t xml:space="preserve">According to the WID and RAN1 discussions the NB-IoT TDD NTN frame structure is as illustrated in </w:t>
      </w:r>
      <w:r>
        <w:fldChar w:fldCharType="begin"/>
      </w:r>
      <w:r>
        <w:instrText xml:space="preserve"> REF _Ref189662297 </w:instrText>
      </w:r>
      <w:r>
        <w:fldChar w:fldCharType="separate"/>
      </w:r>
      <w:r>
        <w:t xml:space="preserve">Figure </w:t>
      </w:r>
      <w:r>
        <w:rPr>
          <w:noProof/>
        </w:rPr>
        <w:t>1</w:t>
      </w:r>
      <w:r>
        <w:fldChar w:fldCharType="end"/>
      </w:r>
      <w:r>
        <w:t xml:space="preserve">. </w:t>
      </w:r>
    </w:p>
    <w:p w14:paraId="01D192A7" w14:textId="77777777" w:rsidR="003975B1" w:rsidRDefault="003975B1" w:rsidP="003975B1">
      <w:pPr>
        <w:pStyle w:val="TF"/>
        <w:keepNext/>
      </w:pPr>
      <w:r>
        <w:rPr>
          <w:rFonts w:cstheme="minorHAnsi"/>
          <w:noProof/>
        </w:rPr>
        <w:drawing>
          <wp:inline distT="0" distB="0" distL="0" distR="0" wp14:anchorId="2AD280FC" wp14:editId="6064129E">
            <wp:extent cx="5680075" cy="648320"/>
            <wp:effectExtent l="0" t="0" r="0" b="0"/>
            <wp:docPr id="123860544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605443" name="Picture 1"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796" cy="655022"/>
                    </a:xfrm>
                    <a:prstGeom prst="rect">
                      <a:avLst/>
                    </a:prstGeom>
                    <a:noFill/>
                  </pic:spPr>
                </pic:pic>
              </a:graphicData>
            </a:graphic>
          </wp:inline>
        </w:drawing>
      </w:r>
    </w:p>
    <w:p w14:paraId="5FF3B143" w14:textId="6F98FCC5" w:rsidR="003975B1" w:rsidRPr="00FC53C8" w:rsidRDefault="003975B1" w:rsidP="003975B1">
      <w:pPr>
        <w:pStyle w:val="Caption"/>
        <w:jc w:val="center"/>
        <w:rPr>
          <w:i w:val="0"/>
          <w:iCs w:val="0"/>
          <w:color w:val="auto"/>
          <w:sz w:val="20"/>
          <w:szCs w:val="20"/>
        </w:rPr>
      </w:pPr>
      <w:bookmarkStart w:id="0" w:name="_Ref189662297"/>
      <w:r w:rsidRPr="00FC53C8">
        <w:rPr>
          <w:i w:val="0"/>
          <w:iCs w:val="0"/>
          <w:color w:val="auto"/>
          <w:sz w:val="20"/>
          <w:szCs w:val="20"/>
        </w:rPr>
        <w:t xml:space="preserve">Figure </w:t>
      </w:r>
      <w:r w:rsidRPr="00FC53C8">
        <w:rPr>
          <w:i w:val="0"/>
          <w:iCs w:val="0"/>
          <w:color w:val="auto"/>
          <w:sz w:val="20"/>
          <w:szCs w:val="20"/>
        </w:rPr>
        <w:fldChar w:fldCharType="begin"/>
      </w:r>
      <w:r w:rsidRPr="00FC53C8">
        <w:rPr>
          <w:i w:val="0"/>
          <w:iCs w:val="0"/>
          <w:color w:val="auto"/>
          <w:sz w:val="20"/>
          <w:szCs w:val="20"/>
        </w:rPr>
        <w:instrText xml:space="preserve"> SEQ Figure \* ARABIC </w:instrText>
      </w:r>
      <w:r w:rsidRPr="00FC53C8">
        <w:rPr>
          <w:i w:val="0"/>
          <w:iCs w:val="0"/>
          <w:color w:val="auto"/>
          <w:sz w:val="20"/>
          <w:szCs w:val="20"/>
        </w:rPr>
        <w:fldChar w:fldCharType="separate"/>
      </w:r>
      <w:r w:rsidRPr="00FC53C8">
        <w:rPr>
          <w:i w:val="0"/>
          <w:iCs w:val="0"/>
          <w:color w:val="auto"/>
          <w:sz w:val="20"/>
          <w:szCs w:val="20"/>
        </w:rPr>
        <w:t>1</w:t>
      </w:r>
      <w:r w:rsidRPr="00FC53C8">
        <w:rPr>
          <w:i w:val="0"/>
          <w:iCs w:val="0"/>
          <w:color w:val="auto"/>
          <w:sz w:val="20"/>
          <w:szCs w:val="20"/>
        </w:rPr>
        <w:fldChar w:fldCharType="end"/>
      </w:r>
      <w:bookmarkEnd w:id="0"/>
      <w:r w:rsidRPr="00FC53C8">
        <w:rPr>
          <w:i w:val="0"/>
          <w:iCs w:val="0"/>
          <w:color w:val="auto"/>
          <w:sz w:val="20"/>
          <w:szCs w:val="20"/>
        </w:rPr>
        <w:t xml:space="preserve"> NB-IoT TDD NTN frame structure.</w:t>
      </w:r>
    </w:p>
    <w:p w14:paraId="2C70AC80" w14:textId="5EE59C3B" w:rsidR="00F17715" w:rsidRDefault="00F17715" w:rsidP="00EC1696">
      <w:r>
        <w:t>Furthermore, RAN1 has agreed that the UL and DL occasions are paired, i.e. if UE has received scheduling information in DL1 the corresponding UL occasion is UL1.</w:t>
      </w:r>
    </w:p>
    <w:tbl>
      <w:tblPr>
        <w:tblStyle w:val="TableGrid"/>
        <w:tblW w:w="0" w:type="auto"/>
        <w:tblLook w:val="04A0" w:firstRow="1" w:lastRow="0" w:firstColumn="1" w:lastColumn="0" w:noHBand="0" w:noVBand="1"/>
      </w:tblPr>
      <w:tblGrid>
        <w:gridCol w:w="9631"/>
      </w:tblGrid>
      <w:tr w:rsidR="00F17715" w14:paraId="2A6502E0" w14:textId="77777777" w:rsidTr="00F17715">
        <w:tc>
          <w:tcPr>
            <w:tcW w:w="9631" w:type="dxa"/>
          </w:tcPr>
          <w:p w14:paraId="1FB6F62E" w14:textId="32E9DC85" w:rsidR="00F17715" w:rsidRPr="00F17715" w:rsidRDefault="00F17715" w:rsidP="00F17715">
            <w:pPr>
              <w:rPr>
                <w:lang w:val="en-US"/>
              </w:rPr>
            </w:pPr>
            <w:r w:rsidRPr="00F17715">
              <w:rPr>
                <w:highlight w:val="green"/>
                <w:lang w:val="en-US"/>
              </w:rPr>
              <w:t>Agreement</w:t>
            </w:r>
            <w:r>
              <w:rPr>
                <w:lang w:val="en-US"/>
              </w:rPr>
              <w:t xml:space="preserve"> (RAN1 #119)</w:t>
            </w:r>
          </w:p>
          <w:p w14:paraId="490F12BC" w14:textId="77777777" w:rsidR="00F17715" w:rsidRPr="00F17715" w:rsidRDefault="00F17715" w:rsidP="00F17715">
            <w:pPr>
              <w:rPr>
                <w:lang w:val="en-US"/>
              </w:rPr>
            </w:pPr>
            <w:r w:rsidRPr="00F17715">
              <w:rPr>
                <w:lang w:val="en-US"/>
              </w:rPr>
              <w:t>Regarding operation within the same band as the TDD frame structure of legacy system in the 1.6GHz MSS band (shown below), RAN1 work in Rel-19 considers the following design constraints:</w:t>
            </w:r>
          </w:p>
          <w:p w14:paraId="5470898E" w14:textId="77777777" w:rsidR="00F17715" w:rsidRDefault="00F17715">
            <w:pPr>
              <w:pStyle w:val="ListParagraph"/>
              <w:numPr>
                <w:ilvl w:val="0"/>
                <w:numId w:val="18"/>
              </w:numPr>
              <w:rPr>
                <w:lang w:val="en-US"/>
              </w:rPr>
            </w:pPr>
            <w:r w:rsidRPr="00F17715">
              <w:rPr>
                <w:lang w:val="en-US"/>
              </w:rPr>
              <w:t>At the satellite, all downlink NB-IoT channels/signals in a cell can only use one of the downlink slots in the TDD frame structure (DL1, DL2, DL3 or DL4) across 90ms periods.</w:t>
            </w:r>
          </w:p>
          <w:p w14:paraId="2DEC4FEA" w14:textId="77777777" w:rsidR="00F17715" w:rsidRDefault="00F17715">
            <w:pPr>
              <w:pStyle w:val="ListParagraph"/>
              <w:numPr>
                <w:ilvl w:val="0"/>
                <w:numId w:val="18"/>
              </w:numPr>
              <w:ind w:left="928"/>
              <w:rPr>
                <w:lang w:val="en-US"/>
              </w:rPr>
            </w:pPr>
            <w:r w:rsidRPr="00F17715">
              <w:rPr>
                <w:lang w:val="en-US"/>
              </w:rPr>
              <w:t>The same downlink slot is used in all the 90ms periods.</w:t>
            </w:r>
          </w:p>
          <w:p w14:paraId="7C01582C" w14:textId="77777777" w:rsidR="00F17715" w:rsidRDefault="00F17715">
            <w:pPr>
              <w:pStyle w:val="ListParagraph"/>
              <w:numPr>
                <w:ilvl w:val="0"/>
                <w:numId w:val="18"/>
              </w:numPr>
              <w:ind w:left="644"/>
              <w:rPr>
                <w:lang w:val="en-US"/>
              </w:rPr>
            </w:pPr>
            <w:r w:rsidRPr="00F17715">
              <w:rPr>
                <w:lang w:val="en-US"/>
              </w:rPr>
              <w:t>At the satellite, all uplink NB-IoT channels in a cell can only use one of the uplink slots in the TDD frame structure (UL1, UL2, UL3 or UL4) across 90ms periods.</w:t>
            </w:r>
          </w:p>
          <w:p w14:paraId="7FC3A47D" w14:textId="77777777" w:rsidR="00F17715" w:rsidRDefault="00F17715">
            <w:pPr>
              <w:pStyle w:val="ListParagraph"/>
              <w:numPr>
                <w:ilvl w:val="0"/>
                <w:numId w:val="18"/>
              </w:numPr>
              <w:ind w:left="928"/>
              <w:rPr>
                <w:lang w:val="en-US"/>
              </w:rPr>
            </w:pPr>
            <w:r w:rsidRPr="00F17715">
              <w:rPr>
                <w:lang w:val="en-US"/>
              </w:rPr>
              <w:t>The same uplink slot is used in all the 90ms periods.</w:t>
            </w:r>
          </w:p>
          <w:p w14:paraId="7D63F429" w14:textId="77777777" w:rsidR="00F17715" w:rsidRPr="00F17715" w:rsidRDefault="00F17715">
            <w:pPr>
              <w:pStyle w:val="ListParagraph"/>
              <w:numPr>
                <w:ilvl w:val="0"/>
                <w:numId w:val="18"/>
              </w:numPr>
              <w:ind w:left="644"/>
              <w:rPr>
                <w:highlight w:val="yellow"/>
                <w:lang w:val="en-US"/>
              </w:rPr>
            </w:pPr>
            <w:r w:rsidRPr="00F17715">
              <w:rPr>
                <w:highlight w:val="yellow"/>
                <w:lang w:val="en-US"/>
              </w:rPr>
              <w:t>The one uplink slot and one downlink slot in the TDD frame structure have the same index (DL1 &amp; UL1, DL2 &amp; UL2, DL3 &amp; UL3, or DL4 &amp; UL4).</w:t>
            </w:r>
          </w:p>
          <w:p w14:paraId="7AAF1928" w14:textId="558C5E76" w:rsidR="00F17715" w:rsidRDefault="00F17715" w:rsidP="00F17715">
            <w:pPr>
              <w:pStyle w:val="ListParagraph"/>
              <w:numPr>
                <w:ilvl w:val="0"/>
                <w:numId w:val="18"/>
              </w:numPr>
              <w:ind w:left="644"/>
            </w:pPr>
            <w:r w:rsidRPr="00F17715">
              <w:rPr>
                <w:lang w:val="en-US"/>
              </w:rPr>
              <w:t>NOTE: this does not imply that the only configuration(s) to be specified are according to these constraint</w:t>
            </w:r>
          </w:p>
        </w:tc>
      </w:tr>
    </w:tbl>
    <w:p w14:paraId="04806874" w14:textId="799663E4" w:rsidR="002F6E3F" w:rsidRDefault="00EC1696" w:rsidP="00F17715">
      <w:pPr>
        <w:spacing w:before="240"/>
      </w:pPr>
      <w:r>
        <w:t xml:space="preserve">In general, the sparsity of DL and UL subframes impacts the network capacity, especially when considering the mandatory signalling (NPSS, NSSS, NPBCH, SIB1, SIB31). According to RAN1 conclusion the overhead of transmitting the aforementioned, excluding SIB31, is about 40 % of the anchor carrier. </w:t>
      </w:r>
    </w:p>
    <w:tbl>
      <w:tblPr>
        <w:tblStyle w:val="TableGrid"/>
        <w:tblW w:w="0" w:type="auto"/>
        <w:tblLook w:val="04A0" w:firstRow="1" w:lastRow="0" w:firstColumn="1" w:lastColumn="0" w:noHBand="0" w:noVBand="1"/>
      </w:tblPr>
      <w:tblGrid>
        <w:gridCol w:w="9631"/>
      </w:tblGrid>
      <w:tr w:rsidR="002F6E3F" w14:paraId="29001438" w14:textId="77777777" w:rsidTr="002F6E3F">
        <w:tc>
          <w:tcPr>
            <w:tcW w:w="9631" w:type="dxa"/>
          </w:tcPr>
          <w:p w14:paraId="20639BF6" w14:textId="643C5A2C" w:rsidR="00496CA7" w:rsidRDefault="00496CA7" w:rsidP="002F6E3F">
            <w:r>
              <w:t>Conclusion (RAN1 #119)</w:t>
            </w:r>
          </w:p>
          <w:p w14:paraId="7D2F5B8C" w14:textId="12E96F68" w:rsidR="002F6E3F" w:rsidRDefault="002F6E3F" w:rsidP="002F6E3F">
            <w:r>
              <w:t>For N=9, D=8, RAN1 concludes that SIB1-NB reception following current specifications is feasible for some SIB1-NB TBS values, at least when the configured number of repetitions is 16 and when SIB1-NB TBS value &lt;=X bits.</w:t>
            </w:r>
          </w:p>
          <w:p w14:paraId="1DA4D391" w14:textId="77777777" w:rsidR="00870D3E" w:rsidRDefault="002F6E3F">
            <w:pPr>
              <w:pStyle w:val="ListParagraph"/>
              <w:numPr>
                <w:ilvl w:val="0"/>
                <w:numId w:val="21"/>
              </w:numPr>
            </w:pPr>
            <w:r>
              <w:t>When considering only NPSS/NSSS/NPBCH/SIB1-NB, and if the number of SIB1-NB repetitions is 16:</w:t>
            </w:r>
          </w:p>
          <w:p w14:paraId="0EBEF296" w14:textId="77777777" w:rsidR="00870D3E" w:rsidRPr="00681EF6" w:rsidRDefault="002F6E3F">
            <w:pPr>
              <w:pStyle w:val="ListParagraph"/>
              <w:numPr>
                <w:ilvl w:val="1"/>
                <w:numId w:val="21"/>
              </w:numPr>
              <w:rPr>
                <w:highlight w:val="yellow"/>
              </w:rPr>
            </w:pPr>
            <w:r w:rsidRPr="00681EF6">
              <w:rPr>
                <w:highlight w:val="yellow"/>
              </w:rPr>
              <w:t>If additionalTransmissionSIB1 is set to TRUE, the overhead of NPSS/NSSS/NPBCH/SIB1-NB is 43.75% in the anchor carrier.</w:t>
            </w:r>
          </w:p>
          <w:p w14:paraId="71C798A2" w14:textId="77777777" w:rsidR="00870D3E" w:rsidRPr="00681EF6" w:rsidRDefault="002F6E3F">
            <w:pPr>
              <w:pStyle w:val="ListParagraph"/>
              <w:numPr>
                <w:ilvl w:val="1"/>
                <w:numId w:val="21"/>
              </w:numPr>
              <w:rPr>
                <w:highlight w:val="yellow"/>
              </w:rPr>
            </w:pPr>
            <w:r w:rsidRPr="00681EF6">
              <w:rPr>
                <w:highlight w:val="yellow"/>
              </w:rPr>
              <w:t>If additionalTransmissionSIB1 is not set to TRUE, the overhead of NPSS/NSSS/NPBCH/SIB1-NB is 37.5% in the anchor carrier.</w:t>
            </w:r>
          </w:p>
          <w:p w14:paraId="70297549" w14:textId="77777777" w:rsidR="00870D3E" w:rsidRDefault="002F6E3F" w:rsidP="00870D3E">
            <w:pPr>
              <w:pStyle w:val="ListParagraph"/>
              <w:numPr>
                <w:ilvl w:val="1"/>
                <w:numId w:val="21"/>
              </w:numPr>
            </w:pPr>
            <w:r>
              <w:t>NOTE: In the above calculations, overhead due to transmission of other SIBs has not been included.</w:t>
            </w:r>
          </w:p>
          <w:p w14:paraId="3FA49BF6" w14:textId="17F6BFD1" w:rsidR="002F6E3F" w:rsidRDefault="002F6E3F" w:rsidP="00870D3E">
            <w:pPr>
              <w:pStyle w:val="ListParagraph"/>
              <w:numPr>
                <w:ilvl w:val="0"/>
                <w:numId w:val="21"/>
              </w:numPr>
            </w:pPr>
            <w:r>
              <w:t>The value of X may be further studied during the normative phase. Note: X is a TBS value supported by the specifications for SIB1-NB</w:t>
            </w:r>
          </w:p>
        </w:tc>
      </w:tr>
    </w:tbl>
    <w:p w14:paraId="7BADD9D8" w14:textId="77777777" w:rsidR="00C77318" w:rsidRPr="006B61CA" w:rsidRDefault="00C77318" w:rsidP="00EC1696">
      <w:pPr>
        <w:rPr>
          <w:sz w:val="2"/>
          <w:szCs w:val="2"/>
        </w:rPr>
      </w:pPr>
    </w:p>
    <w:p w14:paraId="5ADB691E" w14:textId="4791DF07" w:rsidR="00EC1696" w:rsidRDefault="00EC1696" w:rsidP="00EC1696">
      <w:r>
        <w:t>Thus the number of subframes, which can carry control- and user-plane data is limited.</w:t>
      </w:r>
      <w:r w:rsidR="00681EF6" w:rsidRPr="009872B9">
        <w:t xml:space="preserve"> For example, the NB-IoT PRACH preamble has a high capacity due to the use of 3.75 kHz subcarrier. However, the RAR/Msg2 will require a larger bandwidth and thus it may be challenging for the eNB to respond timely to all UEs if many preambles were transmitted in the preceding UL occasion.</w:t>
      </w:r>
    </w:p>
    <w:p w14:paraId="2E5C8FB9" w14:textId="211BA9D9" w:rsidR="00EC1696" w:rsidRPr="00890EB8" w:rsidRDefault="00EC1696" w:rsidP="00EC1696">
      <w:pPr>
        <w:rPr>
          <w:b/>
          <w:bCs/>
        </w:rPr>
      </w:pPr>
      <w:r w:rsidRPr="00890EB8">
        <w:rPr>
          <w:b/>
          <w:bCs/>
        </w:rPr>
        <w:t xml:space="preserve">Observation </w:t>
      </w:r>
      <w:r w:rsidR="000F64B8">
        <w:rPr>
          <w:b/>
          <w:bCs/>
        </w:rPr>
        <w:t>1</w:t>
      </w:r>
      <w:r w:rsidRPr="00890EB8">
        <w:rPr>
          <w:b/>
          <w:bCs/>
        </w:rPr>
        <w:t>: The 8 DL subframes of a DL occasion may have insufficient capacity to carry RAR for all UEs transmitting a preamble in the preceding UL occasion.</w:t>
      </w:r>
    </w:p>
    <w:p w14:paraId="31B7025E" w14:textId="5C18DF8A" w:rsidR="0026707B" w:rsidRPr="009872B9" w:rsidRDefault="005E76CC" w:rsidP="008B549E">
      <w:r>
        <w:t>Based on the RAN1 agreements</w:t>
      </w:r>
      <w:r w:rsidR="0026707B" w:rsidRPr="009872B9">
        <w:t xml:space="preserve">, if the UE has transmitted in UL1 the </w:t>
      </w:r>
      <w:r w:rsidR="00000F00" w:rsidRPr="009872B9">
        <w:t>UE will</w:t>
      </w:r>
      <w:r w:rsidR="0027138F" w:rsidRPr="009872B9">
        <w:t xml:space="preserve"> have to monitor for a response in DL1. According to the frame structure definition, the time-separation is </w:t>
      </w:r>
      <w:r w:rsidR="00CC6274" w:rsidRPr="009872B9">
        <w:t>3*8.28 ms + 3 guard periods which approximates 25 ms</w:t>
      </w:r>
      <w:r>
        <w:t xml:space="preserve"> (see also </w:t>
      </w:r>
      <w:r>
        <w:fldChar w:fldCharType="begin"/>
      </w:r>
      <w:r>
        <w:instrText xml:space="preserve"> REF _Ref189662297 \h </w:instrText>
      </w:r>
      <w:r>
        <w:fldChar w:fldCharType="separate"/>
      </w:r>
      <w:r w:rsidRPr="00FC53C8">
        <w:t>Figure 1</w:t>
      </w:r>
      <w:r>
        <w:fldChar w:fldCharType="end"/>
      </w:r>
      <w:r>
        <w:t>)</w:t>
      </w:r>
      <w:r w:rsidR="00CC6274" w:rsidRPr="009872B9">
        <w:t xml:space="preserve">. </w:t>
      </w:r>
    </w:p>
    <w:p w14:paraId="4D4E04A6" w14:textId="1C3AA5EA" w:rsidR="00CC6274" w:rsidRPr="009872B9" w:rsidRDefault="00CC6274" w:rsidP="008B549E">
      <w:r w:rsidRPr="009872B9">
        <w:lastRenderedPageBreak/>
        <w:t xml:space="preserve">The WID </w:t>
      </w:r>
      <w:r w:rsidR="00C72F48" w:rsidRPr="009872B9">
        <w:t xml:space="preserve">assumptions define LEO 600 km and 1200 km orbits and thus the </w:t>
      </w:r>
      <w:r w:rsidR="00AC24C9" w:rsidRPr="009872B9">
        <w:t xml:space="preserve">RTT is in the range </w:t>
      </w:r>
      <w:r w:rsidR="002220F5" w:rsidRPr="009872B9">
        <w:t xml:space="preserve">4-12.88 ms for a regenerative LEO600 deployment and 8-25.76 ms for a </w:t>
      </w:r>
      <w:r w:rsidR="00FD6DEE" w:rsidRPr="009872B9">
        <w:t>transparent LEO600 deployment</w:t>
      </w:r>
      <w:r w:rsidR="00274FE7">
        <w:rPr>
          <w:rFonts w:hint="eastAsia"/>
          <w:lang w:eastAsia="zh-CN"/>
        </w:rPr>
        <w:t xml:space="preserve"> depending on the UE</w:t>
      </w:r>
      <w:r w:rsidR="00274FE7">
        <w:rPr>
          <w:lang w:eastAsia="zh-CN"/>
        </w:rPr>
        <w:t>’</w:t>
      </w:r>
      <w:r w:rsidR="00274FE7">
        <w:rPr>
          <w:rFonts w:hint="eastAsia"/>
          <w:lang w:eastAsia="zh-CN"/>
        </w:rPr>
        <w:t>s elevation angle</w:t>
      </w:r>
      <w:r w:rsidR="00F710AA">
        <w:rPr>
          <w:rFonts w:hint="eastAsia"/>
          <w:lang w:eastAsia="zh-CN"/>
        </w:rPr>
        <w:t xml:space="preserve"> to the </w:t>
      </w:r>
      <w:r w:rsidR="004A7DDA">
        <w:rPr>
          <w:lang w:eastAsia="zh-CN"/>
        </w:rPr>
        <w:t>satellite</w:t>
      </w:r>
      <w:r w:rsidR="00FD6DEE" w:rsidRPr="009872B9">
        <w:t xml:space="preserve">. This means that the </w:t>
      </w:r>
      <w:r w:rsidR="009E732B" w:rsidRPr="009872B9">
        <w:t xml:space="preserve">UL-DL occasion gap in some scenarios is significantly longer </w:t>
      </w:r>
      <w:r w:rsidR="005D25FD" w:rsidRPr="009872B9">
        <w:t>than the RTT</w:t>
      </w:r>
      <w:r w:rsidR="00E903BC" w:rsidRPr="009872B9">
        <w:t xml:space="preserve"> and in other scenarios the RTT and the gap is quite comparable.</w:t>
      </w:r>
    </w:p>
    <w:p w14:paraId="0621630B" w14:textId="0C6D6D0F" w:rsidR="008B549E" w:rsidRPr="00890EB8" w:rsidRDefault="008B549E" w:rsidP="008B549E">
      <w:pPr>
        <w:rPr>
          <w:b/>
        </w:rPr>
      </w:pPr>
      <w:r w:rsidRPr="00890EB8">
        <w:rPr>
          <w:b/>
        </w:rPr>
        <w:t xml:space="preserve">Observation </w:t>
      </w:r>
      <w:r w:rsidR="000F64B8">
        <w:rPr>
          <w:b/>
        </w:rPr>
        <w:t>2</w:t>
      </w:r>
      <w:r w:rsidRPr="00890EB8">
        <w:rPr>
          <w:b/>
        </w:rPr>
        <w:t xml:space="preserve">: </w:t>
      </w:r>
      <w:r w:rsidR="00B63CE0" w:rsidRPr="00890EB8">
        <w:rPr>
          <w:b/>
        </w:rPr>
        <w:t>The time</w:t>
      </w:r>
      <w:r w:rsidR="00937994" w:rsidRPr="00890EB8">
        <w:rPr>
          <w:b/>
        </w:rPr>
        <w:t xml:space="preserve"> </w:t>
      </w:r>
      <w:r w:rsidR="00B63CE0" w:rsidRPr="00890EB8">
        <w:rPr>
          <w:b/>
        </w:rPr>
        <w:t xml:space="preserve">separation </w:t>
      </w:r>
      <w:r w:rsidR="002576AB" w:rsidRPr="00890EB8">
        <w:rPr>
          <w:b/>
        </w:rPr>
        <w:t>between an UL and a DL occasion in the NB-IoT TDD NTN frame structure is about 25 ms</w:t>
      </w:r>
      <w:r w:rsidRPr="00890EB8">
        <w:rPr>
          <w:b/>
        </w:rPr>
        <w:t>.</w:t>
      </w:r>
    </w:p>
    <w:p w14:paraId="7BE596D4" w14:textId="48FEC10E" w:rsidR="00DC1F00" w:rsidRPr="009872B9" w:rsidRDefault="00DC1F00" w:rsidP="008B549E">
      <w:r w:rsidRPr="009872B9">
        <w:t xml:space="preserve">The </w:t>
      </w:r>
      <w:r w:rsidR="00937994" w:rsidRPr="009872B9">
        <w:t>large UL-DL time separation impacts the RAN2 specification</w:t>
      </w:r>
      <w:r w:rsidR="00186352" w:rsidRPr="009872B9">
        <w:t xml:space="preserve">, because some MAC </w:t>
      </w:r>
      <w:r w:rsidR="002D3E8E" w:rsidRPr="009872B9">
        <w:t>procedures</w:t>
      </w:r>
      <w:r w:rsidR="00186352" w:rsidRPr="009872B9">
        <w:t xml:space="preserve"> are based on the UE-eNB RTT. </w:t>
      </w:r>
      <w:r w:rsidR="002D3E8E" w:rsidRPr="009872B9">
        <w:t>For example, the 4-step Random Access procedure utilize the UE-eNB RTT when defining the start of the RAR window after Msg1 transmission and for start of the Contention Resolution timer after Msg3 transmission.</w:t>
      </w:r>
    </w:p>
    <w:p w14:paraId="419EC623" w14:textId="1661216E" w:rsidR="00355B4B" w:rsidRPr="009872B9" w:rsidRDefault="0051162E" w:rsidP="008B549E">
      <w:r w:rsidRPr="009872B9">
        <w:t>An example is given for the RAR window (TS 36.3</w:t>
      </w:r>
      <w:r w:rsidR="00466616" w:rsidRPr="009872B9">
        <w:t>2</w:t>
      </w:r>
      <w:r w:rsidRPr="009872B9">
        <w:t>1</w:t>
      </w:r>
      <w:r w:rsidR="00466616" w:rsidRPr="009872B9">
        <w:t>)</w:t>
      </w:r>
      <w:r w:rsidR="00D5710A" w:rsidRPr="009872B9">
        <w:t>, which starts based on X subframes + UE-eNB RTT.</w:t>
      </w:r>
    </w:p>
    <w:tbl>
      <w:tblPr>
        <w:tblStyle w:val="TableGrid"/>
        <w:tblW w:w="0" w:type="auto"/>
        <w:tblLook w:val="04A0" w:firstRow="1" w:lastRow="0" w:firstColumn="1" w:lastColumn="0" w:noHBand="0" w:noVBand="1"/>
      </w:tblPr>
      <w:tblGrid>
        <w:gridCol w:w="9631"/>
      </w:tblGrid>
      <w:tr w:rsidR="00355B4B" w14:paraId="00E382F7" w14:textId="77777777" w:rsidTr="00355B4B">
        <w:tc>
          <w:tcPr>
            <w:tcW w:w="9631" w:type="dxa"/>
          </w:tcPr>
          <w:p w14:paraId="3716FA85" w14:textId="77777777" w:rsidR="00355B4B" w:rsidRPr="00FC550C" w:rsidRDefault="00355B4B" w:rsidP="00355B4B">
            <w:pPr>
              <w:keepNext/>
              <w:keepLines/>
              <w:overflowPunct w:val="0"/>
              <w:autoSpaceDE w:val="0"/>
              <w:autoSpaceDN w:val="0"/>
              <w:adjustRightInd w:val="0"/>
              <w:spacing w:before="120"/>
              <w:textAlignment w:val="baseline"/>
              <w:outlineLvl w:val="2"/>
              <w:rPr>
                <w:rFonts w:ascii="Arial" w:eastAsia="Times New Roman" w:hAnsi="Arial"/>
                <w:noProof/>
                <w:sz w:val="28"/>
                <w:lang w:eastAsia="ja-JP"/>
              </w:rPr>
            </w:pPr>
            <w:bookmarkStart w:id="1" w:name="_Toc29242953"/>
            <w:bookmarkStart w:id="2" w:name="_Toc37256210"/>
            <w:bookmarkStart w:id="3" w:name="_Toc37256364"/>
            <w:bookmarkStart w:id="4" w:name="_Toc46500303"/>
            <w:bookmarkStart w:id="5" w:name="_Toc52536212"/>
            <w:bookmarkStart w:id="6" w:name="_Toc162956891"/>
            <w:r w:rsidRPr="00FC550C">
              <w:rPr>
                <w:rFonts w:ascii="Arial" w:eastAsia="Times New Roman" w:hAnsi="Arial"/>
                <w:noProof/>
                <w:sz w:val="28"/>
                <w:lang w:eastAsia="ja-JP"/>
              </w:rPr>
              <w:t>5.1.4</w:t>
            </w:r>
            <w:r w:rsidRPr="00FC550C">
              <w:rPr>
                <w:rFonts w:ascii="Arial" w:eastAsia="Times New Roman" w:hAnsi="Arial"/>
                <w:noProof/>
                <w:sz w:val="28"/>
                <w:lang w:eastAsia="ja-JP"/>
              </w:rPr>
              <w:tab/>
              <w:t>Random Access Response reception</w:t>
            </w:r>
            <w:bookmarkEnd w:id="1"/>
            <w:bookmarkEnd w:id="2"/>
            <w:bookmarkEnd w:id="3"/>
            <w:bookmarkEnd w:id="4"/>
            <w:bookmarkEnd w:id="5"/>
            <w:bookmarkEnd w:id="6"/>
          </w:p>
          <w:p w14:paraId="0FC69389" w14:textId="77777777" w:rsidR="00355B4B" w:rsidRPr="00355B4B" w:rsidRDefault="00355B4B" w:rsidP="00355B4B">
            <w:pPr>
              <w:rPr>
                <w:rFonts w:cstheme="minorHAnsi"/>
              </w:rPr>
            </w:pPr>
            <w:r w:rsidRPr="00355B4B">
              <w:rPr>
                <w:rFonts w:cstheme="minorHAnsi"/>
              </w:rPr>
              <w:t>…</w:t>
            </w:r>
          </w:p>
          <w:p w14:paraId="5016B0EE" w14:textId="77777777" w:rsidR="00355B4B" w:rsidRPr="00355B4B" w:rsidRDefault="00355B4B" w:rsidP="00355B4B">
            <w:pPr>
              <w:overflowPunct w:val="0"/>
              <w:autoSpaceDE w:val="0"/>
              <w:autoSpaceDN w:val="0"/>
              <w:adjustRightInd w:val="0"/>
              <w:textAlignment w:val="baseline"/>
              <w:rPr>
                <w:rFonts w:eastAsia="Times New Roman"/>
                <w:lang w:eastAsia="ja-JP"/>
              </w:rPr>
            </w:pPr>
            <w:r w:rsidRPr="00355B4B">
              <w:rPr>
                <w:rFonts w:eastAsia="Times New Roman"/>
                <w:lang w:eastAsia="ja-JP"/>
              </w:rPr>
              <w:t>If the UE is an NB-IoT UE:</w:t>
            </w:r>
          </w:p>
          <w:p w14:paraId="118E8337" w14:textId="77777777" w:rsidR="00355B4B" w:rsidRPr="00355B4B" w:rsidRDefault="00355B4B" w:rsidP="00355B4B">
            <w:pPr>
              <w:overflowPunct w:val="0"/>
              <w:autoSpaceDE w:val="0"/>
              <w:autoSpaceDN w:val="0"/>
              <w:adjustRightInd w:val="0"/>
              <w:ind w:left="568"/>
              <w:textAlignment w:val="baseline"/>
              <w:rPr>
                <w:rFonts w:eastAsia="Times New Roman"/>
                <w:lang w:eastAsia="ja-JP"/>
              </w:rPr>
            </w:pPr>
            <w:r w:rsidRPr="00355B4B">
              <w:rPr>
                <w:rFonts w:eastAsia="Times New Roman"/>
                <w:lang w:eastAsia="ja-JP"/>
              </w:rPr>
              <w:t>-</w:t>
            </w:r>
            <w:r w:rsidRPr="00355B4B">
              <w:rPr>
                <w:rFonts w:eastAsia="Times New Roman"/>
                <w:lang w:eastAsia="ja-JP"/>
              </w:rPr>
              <w:tab/>
              <w:t>if the random access preamble was transmitted in a non-terrestrial network:</w:t>
            </w:r>
          </w:p>
          <w:p w14:paraId="234C85E9" w14:textId="77777777" w:rsidR="00355B4B" w:rsidRPr="00355B4B" w:rsidRDefault="00355B4B" w:rsidP="00355B4B">
            <w:pPr>
              <w:overflowPunct w:val="0"/>
              <w:autoSpaceDE w:val="0"/>
              <w:autoSpaceDN w:val="0"/>
              <w:adjustRightInd w:val="0"/>
              <w:ind w:left="851"/>
              <w:textAlignment w:val="baseline"/>
              <w:rPr>
                <w:rFonts w:eastAsia="Times New Roman"/>
                <w:lang w:eastAsia="ja-JP"/>
              </w:rPr>
            </w:pPr>
            <w:r w:rsidRPr="00355B4B">
              <w:rPr>
                <w:rFonts w:eastAsia="Times New Roman"/>
                <w:lang w:eastAsia="ja-JP"/>
              </w:rPr>
              <w:t xml:space="preserve">- </w:t>
            </w:r>
            <w:r w:rsidRPr="00466616">
              <w:rPr>
                <w:rFonts w:eastAsia="Times New Roman"/>
                <w:highlight w:val="yellow"/>
                <w:lang w:eastAsia="ja-JP"/>
              </w:rPr>
              <w:t xml:space="preserve">RA Response window starts at the subframe that contains the </w:t>
            </w:r>
            <w:bookmarkStart w:id="7" w:name="_Hlk193960581"/>
            <w:r w:rsidRPr="00466616">
              <w:rPr>
                <w:rFonts w:eastAsia="Times New Roman"/>
                <w:highlight w:val="yellow"/>
                <w:lang w:eastAsia="ja-JP"/>
              </w:rPr>
              <w:t xml:space="preserve">end of the last preamble repetition plus X subframes plus UE-eNB </w:t>
            </w:r>
            <w:bookmarkEnd w:id="7"/>
            <w:r w:rsidRPr="00466616">
              <w:rPr>
                <w:rFonts w:eastAsia="Times New Roman"/>
                <w:highlight w:val="yellow"/>
                <w:lang w:eastAsia="ja-JP"/>
              </w:rPr>
              <w:t>RTT</w:t>
            </w:r>
            <w:r w:rsidRPr="00355B4B">
              <w:rPr>
                <w:rFonts w:eastAsia="Times New Roman"/>
                <w:lang w:eastAsia="ja-JP"/>
              </w:rPr>
              <w:t xml:space="preserve"> and has length </w:t>
            </w:r>
            <w:r w:rsidRPr="00355B4B">
              <w:rPr>
                <w:rFonts w:eastAsia="Times New Roman"/>
                <w:i/>
                <w:lang w:eastAsia="ja-JP"/>
              </w:rPr>
              <w:t>ra-ResponseWindowSize</w:t>
            </w:r>
            <w:r w:rsidRPr="00355B4B">
              <w:rPr>
                <w:rFonts w:eastAsia="Times New Roman"/>
                <w:lang w:eastAsia="ja-JP"/>
              </w:rPr>
              <w:t xml:space="preserve"> for the corresponding enhanced coverage level, where value X is determined from Table 5.1.4-1 based on the used preamble format and the number of NPRACH repetitions;</w:t>
            </w:r>
          </w:p>
          <w:p w14:paraId="009B0175" w14:textId="107AE704" w:rsidR="00355B4B" w:rsidRPr="00355B4B" w:rsidRDefault="00355B4B" w:rsidP="00355B4B">
            <w:pPr>
              <w:overflowPunct w:val="0"/>
              <w:autoSpaceDE w:val="0"/>
              <w:autoSpaceDN w:val="0"/>
              <w:adjustRightInd w:val="0"/>
              <w:ind w:left="851"/>
              <w:textAlignment w:val="baseline"/>
              <w:rPr>
                <w:rFonts w:eastAsia="Times New Roman"/>
                <w:lang w:eastAsia="ja-JP"/>
              </w:rPr>
            </w:pPr>
            <w:r w:rsidRPr="00355B4B">
              <w:rPr>
                <w:rFonts w:eastAsia="Times New Roman"/>
                <w:lang w:eastAsia="ja-JP"/>
              </w:rPr>
              <w:t>…</w:t>
            </w:r>
          </w:p>
          <w:p w14:paraId="5593A6FE" w14:textId="77777777" w:rsidR="00355B4B" w:rsidRPr="00355B4B" w:rsidRDefault="00355B4B" w:rsidP="00355B4B">
            <w:pPr>
              <w:keepNext/>
              <w:keepLines/>
              <w:overflowPunct w:val="0"/>
              <w:autoSpaceDE w:val="0"/>
              <w:autoSpaceDN w:val="0"/>
              <w:adjustRightInd w:val="0"/>
              <w:spacing w:before="60"/>
              <w:jc w:val="center"/>
              <w:textAlignment w:val="baseline"/>
              <w:rPr>
                <w:rFonts w:ascii="Arial" w:eastAsia="Times New Roman" w:hAnsi="Arial"/>
                <w:b/>
                <w:lang w:eastAsia="ja-JP"/>
              </w:rPr>
            </w:pPr>
            <w:bookmarkStart w:id="8" w:name="_Hlk188609923"/>
            <w:r w:rsidRPr="00355B4B">
              <w:rPr>
                <w:rFonts w:ascii="Arial" w:eastAsia="Times New Roman" w:hAnsi="Arial"/>
                <w:b/>
                <w:lang w:eastAsia="ja-JP"/>
              </w:rPr>
              <w:t>Table 5.1.4-1</w:t>
            </w:r>
            <w:bookmarkEnd w:id="8"/>
            <w:r w:rsidRPr="00355B4B">
              <w:rPr>
                <w:rFonts w:ascii="Arial" w:eastAsia="Times New Roman" w:hAnsi="Arial"/>
                <w:b/>
                <w:lang w:eastAsia="ja-JP"/>
              </w:rPr>
              <w:t>: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355B4B" w:rsidRPr="00355B4B" w14:paraId="0C41B7E8" w14:textId="77777777">
              <w:trPr>
                <w:jc w:val="center"/>
              </w:trPr>
              <w:tc>
                <w:tcPr>
                  <w:tcW w:w="1802" w:type="dxa"/>
                </w:tcPr>
                <w:p w14:paraId="1C7A2EAD"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TDD/FDD mode</w:t>
                  </w:r>
                </w:p>
              </w:tc>
              <w:tc>
                <w:tcPr>
                  <w:tcW w:w="1721" w:type="dxa"/>
                </w:tcPr>
                <w:p w14:paraId="165D5DF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Preamble format</w:t>
                  </w:r>
                </w:p>
              </w:tc>
              <w:tc>
                <w:tcPr>
                  <w:tcW w:w="3119" w:type="dxa"/>
                </w:tcPr>
                <w:p w14:paraId="16EAB2A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355B4B">
                    <w:rPr>
                      <w:rFonts w:ascii="Arial" w:eastAsia="Times New Roman" w:hAnsi="Arial"/>
                      <w:b/>
                      <w:noProof/>
                      <w:sz w:val="18"/>
                      <w:lang w:eastAsia="ko-KR"/>
                    </w:rPr>
                    <w:t>Number of NPRACH repetitions</w:t>
                  </w:r>
                </w:p>
              </w:tc>
              <w:tc>
                <w:tcPr>
                  <w:tcW w:w="971" w:type="dxa"/>
                </w:tcPr>
                <w:p w14:paraId="44D3CBE4"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55B4B">
                    <w:rPr>
                      <w:rFonts w:ascii="Arial" w:eastAsia="Times New Roman" w:hAnsi="Arial"/>
                      <w:b/>
                      <w:noProof/>
                      <w:sz w:val="18"/>
                      <w:lang w:eastAsia="ko-KR"/>
                    </w:rPr>
                    <w:t xml:space="preserve">X </w:t>
                  </w:r>
                </w:p>
              </w:tc>
            </w:tr>
            <w:tr w:rsidR="00355B4B" w:rsidRPr="00355B4B" w14:paraId="0472A602" w14:textId="77777777">
              <w:trPr>
                <w:jc w:val="center"/>
              </w:trPr>
              <w:tc>
                <w:tcPr>
                  <w:tcW w:w="1802" w:type="dxa"/>
                  <w:vAlign w:val="center"/>
                </w:tcPr>
                <w:p w14:paraId="5038FD19"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35527C4D"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0 or 1</w:t>
                  </w:r>
                </w:p>
              </w:tc>
              <w:tc>
                <w:tcPr>
                  <w:tcW w:w="3119" w:type="dxa"/>
                </w:tcPr>
                <w:p w14:paraId="3877761B"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&gt;= 64</w:t>
                  </w:r>
                </w:p>
              </w:tc>
              <w:tc>
                <w:tcPr>
                  <w:tcW w:w="971" w:type="dxa"/>
                  <w:vAlign w:val="center"/>
                </w:tcPr>
                <w:p w14:paraId="59FAC55F"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41</w:t>
                  </w:r>
                </w:p>
              </w:tc>
            </w:tr>
            <w:tr w:rsidR="00355B4B" w:rsidRPr="00355B4B" w14:paraId="30624716" w14:textId="77777777">
              <w:trPr>
                <w:jc w:val="center"/>
              </w:trPr>
              <w:tc>
                <w:tcPr>
                  <w:tcW w:w="1802" w:type="dxa"/>
                  <w:vAlign w:val="center"/>
                </w:tcPr>
                <w:p w14:paraId="3D573BB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5699F281"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0 or 1</w:t>
                  </w:r>
                </w:p>
              </w:tc>
              <w:tc>
                <w:tcPr>
                  <w:tcW w:w="3119" w:type="dxa"/>
                </w:tcPr>
                <w:p w14:paraId="6AF92CB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&lt; 64</w:t>
                  </w:r>
                </w:p>
              </w:tc>
              <w:tc>
                <w:tcPr>
                  <w:tcW w:w="971" w:type="dxa"/>
                  <w:vAlign w:val="center"/>
                </w:tcPr>
                <w:p w14:paraId="7435008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w:t>
                  </w:r>
                </w:p>
              </w:tc>
            </w:tr>
            <w:tr w:rsidR="00355B4B" w:rsidRPr="00355B4B" w14:paraId="455F34EA" w14:textId="77777777">
              <w:trPr>
                <w:jc w:val="center"/>
              </w:trPr>
              <w:tc>
                <w:tcPr>
                  <w:tcW w:w="1802" w:type="dxa"/>
                  <w:vAlign w:val="center"/>
                </w:tcPr>
                <w:p w14:paraId="454DDD3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572BCEEF"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2</w:t>
                  </w:r>
                </w:p>
              </w:tc>
              <w:tc>
                <w:tcPr>
                  <w:tcW w:w="3119" w:type="dxa"/>
                </w:tcPr>
                <w:p w14:paraId="46AE85C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&gt;= 16</w:t>
                  </w:r>
                </w:p>
              </w:tc>
              <w:tc>
                <w:tcPr>
                  <w:tcW w:w="971" w:type="dxa"/>
                  <w:vAlign w:val="center"/>
                </w:tcPr>
                <w:p w14:paraId="304E42A3"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41</w:t>
                  </w:r>
                </w:p>
              </w:tc>
            </w:tr>
            <w:tr w:rsidR="00355B4B" w:rsidRPr="00355B4B" w14:paraId="6D658A03" w14:textId="77777777">
              <w:trPr>
                <w:jc w:val="center"/>
              </w:trPr>
              <w:tc>
                <w:tcPr>
                  <w:tcW w:w="1802" w:type="dxa"/>
                  <w:vAlign w:val="center"/>
                </w:tcPr>
                <w:p w14:paraId="707DDCB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FDD</w:t>
                  </w:r>
                </w:p>
              </w:tc>
              <w:tc>
                <w:tcPr>
                  <w:tcW w:w="1721" w:type="dxa"/>
                  <w:vAlign w:val="center"/>
                </w:tcPr>
                <w:p w14:paraId="2788F495"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2</w:t>
                  </w:r>
                </w:p>
              </w:tc>
              <w:tc>
                <w:tcPr>
                  <w:tcW w:w="3119" w:type="dxa"/>
                </w:tcPr>
                <w:p w14:paraId="4C1BB01A"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355B4B">
                    <w:rPr>
                      <w:rFonts w:ascii="Arial" w:eastAsia="Times New Roman" w:hAnsi="Arial"/>
                      <w:noProof/>
                      <w:sz w:val="18"/>
                      <w:lang w:eastAsia="zh-CN"/>
                    </w:rPr>
                    <w:t>&lt; 16</w:t>
                  </w:r>
                </w:p>
              </w:tc>
              <w:tc>
                <w:tcPr>
                  <w:tcW w:w="971" w:type="dxa"/>
                  <w:vAlign w:val="center"/>
                </w:tcPr>
                <w:p w14:paraId="5D3FA338"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355B4B">
                    <w:rPr>
                      <w:rFonts w:ascii="Arial" w:eastAsia="Times New Roman" w:hAnsi="Arial"/>
                      <w:noProof/>
                      <w:sz w:val="18"/>
                      <w:lang w:eastAsia="ko-KR"/>
                    </w:rPr>
                    <w:t>4</w:t>
                  </w:r>
                </w:p>
              </w:tc>
            </w:tr>
            <w:tr w:rsidR="00355B4B" w:rsidRPr="00F90481" w14:paraId="489D0766" w14:textId="77777777">
              <w:trPr>
                <w:jc w:val="center"/>
              </w:trPr>
              <w:tc>
                <w:tcPr>
                  <w:tcW w:w="1802" w:type="dxa"/>
                  <w:vAlign w:val="center"/>
                </w:tcPr>
                <w:p w14:paraId="6B6C79CB"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TDD</w:t>
                  </w:r>
                </w:p>
              </w:tc>
              <w:tc>
                <w:tcPr>
                  <w:tcW w:w="1721" w:type="dxa"/>
                  <w:vAlign w:val="center"/>
                </w:tcPr>
                <w:p w14:paraId="3B893F62"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Any</w:t>
                  </w:r>
                </w:p>
              </w:tc>
              <w:tc>
                <w:tcPr>
                  <w:tcW w:w="3119" w:type="dxa"/>
                </w:tcPr>
                <w:p w14:paraId="1B5155F7"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55B4B">
                    <w:rPr>
                      <w:rFonts w:ascii="Arial" w:eastAsia="Times New Roman" w:hAnsi="Arial"/>
                      <w:sz w:val="18"/>
                      <w:lang w:eastAsia="zh-CN"/>
                    </w:rPr>
                    <w:t>Any</w:t>
                  </w:r>
                </w:p>
              </w:tc>
              <w:tc>
                <w:tcPr>
                  <w:tcW w:w="971" w:type="dxa"/>
                  <w:vAlign w:val="center"/>
                </w:tcPr>
                <w:p w14:paraId="1A5BA386" w14:textId="77777777" w:rsidR="00355B4B" w:rsidRPr="00355B4B" w:rsidRDefault="00355B4B" w:rsidP="00355B4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5B4B">
                    <w:rPr>
                      <w:rFonts w:ascii="Arial" w:eastAsia="Times New Roman" w:hAnsi="Arial"/>
                      <w:sz w:val="18"/>
                      <w:lang w:eastAsia="ko-KR"/>
                    </w:rPr>
                    <w:t>4</w:t>
                  </w:r>
                </w:p>
              </w:tc>
            </w:tr>
          </w:tbl>
          <w:p w14:paraId="3456CC2C" w14:textId="77777777" w:rsidR="00355B4B" w:rsidRPr="009872B9" w:rsidRDefault="00355B4B" w:rsidP="008B549E"/>
        </w:tc>
      </w:tr>
    </w:tbl>
    <w:p w14:paraId="7B7A5B54" w14:textId="77777777" w:rsidR="00E227A2" w:rsidRPr="00E227A2" w:rsidRDefault="00E227A2" w:rsidP="008B549E">
      <w:pPr>
        <w:rPr>
          <w:sz w:val="2"/>
          <w:szCs w:val="2"/>
        </w:rPr>
      </w:pPr>
    </w:p>
    <w:p w14:paraId="3AD18591" w14:textId="7B447626" w:rsidR="00355B4B" w:rsidRPr="009872B9" w:rsidRDefault="00AC64C1" w:rsidP="008B549E">
      <w:r w:rsidRPr="009872B9">
        <w:t xml:space="preserve">Starting the RAR window based on X (of table 5.1.4-1) and the UE-eNB RTT may result in </w:t>
      </w:r>
      <w:r w:rsidR="00621AC7" w:rsidRPr="009872B9">
        <w:t xml:space="preserve">most of the window </w:t>
      </w:r>
      <w:r w:rsidR="000C35A0" w:rsidRPr="009872B9">
        <w:t>occurring</w:t>
      </w:r>
      <w:r w:rsidR="00621AC7" w:rsidRPr="009872B9">
        <w:t xml:space="preserve"> during the UL-DL occasions gap. This is problematic from UE energy consumption point of view </w:t>
      </w:r>
      <w:r w:rsidR="00D45DD8" w:rsidRPr="009872B9">
        <w:t xml:space="preserve">and also limits the eNB scheduling flexibility, because it may reduce the overlap between the RAR window and the DL subframes in the DL occasion. </w:t>
      </w:r>
    </w:p>
    <w:p w14:paraId="48922FB4" w14:textId="636ECA32" w:rsidR="009F46A7" w:rsidRPr="00890EB8" w:rsidRDefault="009F46A7" w:rsidP="008B549E">
      <w:pPr>
        <w:rPr>
          <w:b/>
          <w:bCs/>
        </w:rPr>
      </w:pPr>
      <w:r w:rsidRPr="00890EB8">
        <w:rPr>
          <w:b/>
          <w:bCs/>
        </w:rPr>
        <w:t xml:space="preserve">Observation </w:t>
      </w:r>
      <w:r w:rsidR="000F64B8">
        <w:rPr>
          <w:b/>
          <w:bCs/>
        </w:rPr>
        <w:t>3</w:t>
      </w:r>
      <w:r w:rsidRPr="00890EB8">
        <w:rPr>
          <w:b/>
          <w:bCs/>
        </w:rPr>
        <w:t xml:space="preserve">: </w:t>
      </w:r>
      <w:r w:rsidR="00560B24" w:rsidRPr="00890EB8">
        <w:rPr>
          <w:b/>
          <w:bCs/>
        </w:rPr>
        <w:t xml:space="preserve">The RAR window </w:t>
      </w:r>
      <w:r w:rsidR="00DB3959" w:rsidRPr="00890EB8">
        <w:rPr>
          <w:b/>
          <w:bCs/>
        </w:rPr>
        <w:t>may occur primarily during the UL-DL occasion gap if the start of the window is based on UE-eNB RTT.</w:t>
      </w:r>
    </w:p>
    <w:p w14:paraId="11DC0C4D" w14:textId="2ED38FA4" w:rsidR="00DB3959" w:rsidRPr="009872B9" w:rsidRDefault="00B54BA6" w:rsidP="008B549E">
      <w:r w:rsidRPr="009872B9">
        <w:t xml:space="preserve">A similar issue also exists for the Contention Resolution timer, because it is </w:t>
      </w:r>
      <w:r w:rsidR="00680E7C" w:rsidRPr="009872B9">
        <w:t>started based on the UE-eNB RTT as well.</w:t>
      </w:r>
    </w:p>
    <w:p w14:paraId="41BBA069" w14:textId="0C0F4DFA" w:rsidR="00680E7C" w:rsidRPr="00890EB8" w:rsidRDefault="00680E7C" w:rsidP="00680E7C">
      <w:pPr>
        <w:rPr>
          <w:b/>
          <w:bCs/>
        </w:rPr>
      </w:pPr>
      <w:r w:rsidRPr="00890EB8">
        <w:rPr>
          <w:b/>
          <w:bCs/>
        </w:rPr>
        <w:t xml:space="preserve">Observation </w:t>
      </w:r>
      <w:r w:rsidR="000F64B8">
        <w:rPr>
          <w:b/>
          <w:bCs/>
        </w:rPr>
        <w:t>4</w:t>
      </w:r>
      <w:r w:rsidRPr="00890EB8">
        <w:rPr>
          <w:b/>
          <w:bCs/>
        </w:rPr>
        <w:t xml:space="preserve">: The Contention Resolution timer may run primarily during the UL-DL occasion gap if the start of the </w:t>
      </w:r>
      <w:r w:rsidR="006A3F23" w:rsidRPr="00890EB8">
        <w:rPr>
          <w:b/>
          <w:bCs/>
        </w:rPr>
        <w:t xml:space="preserve">timer </w:t>
      </w:r>
      <w:r w:rsidRPr="00890EB8">
        <w:rPr>
          <w:b/>
          <w:bCs/>
        </w:rPr>
        <w:t>is based on UE-eNB RTT.</w:t>
      </w:r>
    </w:p>
    <w:p w14:paraId="5B0DF6A3" w14:textId="08E95CBF" w:rsidR="00680E7C" w:rsidRPr="009872B9" w:rsidRDefault="006A3F23" w:rsidP="008B549E">
      <w:r w:rsidRPr="009872B9">
        <w:t xml:space="preserve">Based on this issue we propose that RAN2 discuss how to better align the UE’s PDCCH monitoring, based on the RAR window and Contention Resolution timer, </w:t>
      </w:r>
      <w:r w:rsidR="002257F9" w:rsidRPr="009872B9">
        <w:t xml:space="preserve">with the DL occasions. </w:t>
      </w:r>
      <w:r w:rsidR="006E11CB">
        <w:t xml:space="preserve">We consider a </w:t>
      </w:r>
      <w:r w:rsidR="00AB3386">
        <w:t>feasible</w:t>
      </w:r>
      <w:r w:rsidR="006E11CB">
        <w:t xml:space="preserve"> solution is </w:t>
      </w:r>
      <w:r w:rsidR="00B147F7">
        <w:t>to</w:t>
      </w:r>
      <w:r w:rsidR="00AB3386">
        <w:t xml:space="preserve"> ensure </w:t>
      </w:r>
      <w:r w:rsidR="003B68EC">
        <w:t xml:space="preserve">the </w:t>
      </w:r>
      <w:r w:rsidR="00145969">
        <w:t xml:space="preserve">RAR </w:t>
      </w:r>
      <w:r w:rsidR="000B0A68">
        <w:t>window</w:t>
      </w:r>
      <w:r w:rsidR="002257F9" w:rsidRPr="009872B9">
        <w:t xml:space="preserve"> </w:t>
      </w:r>
      <w:r w:rsidR="00145969">
        <w:t xml:space="preserve">and Contention Resolution timer </w:t>
      </w:r>
      <w:r w:rsidR="000C3871">
        <w:t xml:space="preserve">does not start before the </w:t>
      </w:r>
      <w:r w:rsidR="00AB3386">
        <w:t>next DL occas</w:t>
      </w:r>
      <w:r w:rsidR="00611703">
        <w:t>ion</w:t>
      </w:r>
      <w:r w:rsidR="0058744A">
        <w:t xml:space="preserve">. This can be achieved by adjusting the </w:t>
      </w:r>
      <w:r w:rsidR="002257F9" w:rsidRPr="009872B9">
        <w:t xml:space="preserve"> </w:t>
      </w:r>
      <w:r w:rsidR="00A0004B">
        <w:t xml:space="preserve">“starts </w:t>
      </w:r>
      <w:r w:rsidR="005E5382" w:rsidRPr="005E5382">
        <w:t xml:space="preserve">at the subframe that contains the </w:t>
      </w:r>
      <w:r w:rsidR="00A0004B" w:rsidRPr="00A0004B">
        <w:t xml:space="preserve">end of the last </w:t>
      </w:r>
      <w:r w:rsidR="00390B84">
        <w:t>…</w:t>
      </w:r>
      <w:r w:rsidR="005E5382" w:rsidRPr="005E5382">
        <w:t xml:space="preserve"> </w:t>
      </w:r>
      <w:r w:rsidR="00A0004B" w:rsidRPr="00A0004B">
        <w:t>repetition plus X subframes plus UE-eNB</w:t>
      </w:r>
      <w:r w:rsidR="005E5382" w:rsidRPr="005E5382">
        <w:t xml:space="preserve"> RTT</w:t>
      </w:r>
      <w:r w:rsidR="00A0004B">
        <w:t>”</w:t>
      </w:r>
      <w:r w:rsidR="00390B84">
        <w:t xml:space="preserve"> to </w:t>
      </w:r>
      <w:r w:rsidR="00AA01E5">
        <w:t>“</w:t>
      </w:r>
      <w:r w:rsidR="00AA01E5" w:rsidRPr="005E5382">
        <w:t xml:space="preserve">starts at the subframe that contains the end of the last </w:t>
      </w:r>
      <w:r w:rsidR="00AA01E5">
        <w:t>…</w:t>
      </w:r>
      <w:r w:rsidR="00AA01E5" w:rsidRPr="005E5382">
        <w:t xml:space="preserve"> repetition plus </w:t>
      </w:r>
      <w:r w:rsidR="00B373FD" w:rsidRPr="00FE56EE">
        <w:rPr>
          <w:i/>
          <w:iCs/>
        </w:rPr>
        <w:t>max(</w:t>
      </w:r>
      <w:r w:rsidR="00AA01E5" w:rsidRPr="00ED1142">
        <w:rPr>
          <w:i/>
          <w:iCs/>
        </w:rPr>
        <w:t>X subframes plus UE-eNB RTT</w:t>
      </w:r>
      <w:r w:rsidR="00B373FD" w:rsidRPr="00ED1142">
        <w:rPr>
          <w:i/>
          <w:iCs/>
        </w:rPr>
        <w:t>,</w:t>
      </w:r>
      <w:r w:rsidR="00B373FD" w:rsidRPr="00ED1142">
        <w:rPr>
          <w:rFonts w:cstheme="minorHAnsi"/>
          <w:i/>
          <w:iCs/>
        </w:rPr>
        <w:t xml:space="preserve"> distance from last UL transmission repetition to next DL subframe)</w:t>
      </w:r>
      <w:r w:rsidR="00AA01E5">
        <w:t>”.</w:t>
      </w:r>
      <w:r w:rsidR="0094129B">
        <w:t xml:space="preserve"> </w:t>
      </w:r>
      <w:r w:rsidR="00F4182F">
        <w:t xml:space="preserve">Using </w:t>
      </w:r>
      <w:r w:rsidR="00011854">
        <w:t>this update, the RAR window and Contention Resolution timer will either start at the first DL subframe of the next DL occasion or start later if the UE-eNB RTT is long.</w:t>
      </w:r>
    </w:p>
    <w:p w14:paraId="49E14EAD" w14:textId="00C12087" w:rsidR="008B549E" w:rsidRDefault="008B549E" w:rsidP="008B549E">
      <w:pPr>
        <w:rPr>
          <w:b/>
        </w:rPr>
      </w:pPr>
      <w:r w:rsidRPr="00890EB8">
        <w:rPr>
          <w:b/>
        </w:rPr>
        <w:t xml:space="preserve">Proposal </w:t>
      </w:r>
      <w:r w:rsidR="00A63EC4">
        <w:rPr>
          <w:rFonts w:hint="eastAsia"/>
          <w:b/>
          <w:lang w:eastAsia="zh-CN"/>
        </w:rPr>
        <w:t>1</w:t>
      </w:r>
      <w:r w:rsidRPr="00890EB8">
        <w:rPr>
          <w:b/>
        </w:rPr>
        <w:t xml:space="preserve">: </w:t>
      </w:r>
      <w:r w:rsidR="00E06408">
        <w:rPr>
          <w:b/>
        </w:rPr>
        <w:t>T</w:t>
      </w:r>
      <w:r w:rsidR="002257F9" w:rsidRPr="00890EB8">
        <w:rPr>
          <w:b/>
        </w:rPr>
        <w:t xml:space="preserve">he </w:t>
      </w:r>
      <w:r w:rsidR="00E32207">
        <w:rPr>
          <w:b/>
        </w:rPr>
        <w:t xml:space="preserve">start of </w:t>
      </w:r>
      <w:r w:rsidR="002257F9" w:rsidRPr="00890EB8">
        <w:rPr>
          <w:b/>
        </w:rPr>
        <w:t xml:space="preserve">the RAR window and Contention Resolution timer </w:t>
      </w:r>
      <w:r w:rsidR="00E32207">
        <w:rPr>
          <w:b/>
        </w:rPr>
        <w:t>shall be aligned with</w:t>
      </w:r>
      <w:r w:rsidR="00E32207" w:rsidRPr="00890EB8">
        <w:rPr>
          <w:b/>
        </w:rPr>
        <w:t xml:space="preserve"> </w:t>
      </w:r>
      <w:r w:rsidR="002257F9" w:rsidRPr="00890EB8">
        <w:rPr>
          <w:b/>
        </w:rPr>
        <w:t xml:space="preserve">the </w:t>
      </w:r>
      <w:r w:rsidR="00E32207">
        <w:rPr>
          <w:b/>
        </w:rPr>
        <w:t xml:space="preserve">start of </w:t>
      </w:r>
      <w:r w:rsidR="002257F9" w:rsidRPr="00890EB8">
        <w:rPr>
          <w:b/>
        </w:rPr>
        <w:t>the DL occasion</w:t>
      </w:r>
      <w:r w:rsidR="003D4F74" w:rsidRPr="00890EB8">
        <w:rPr>
          <w:b/>
        </w:rPr>
        <w:t>s</w:t>
      </w:r>
      <w:r w:rsidR="00226F1B">
        <w:rPr>
          <w:b/>
        </w:rPr>
        <w:t xml:space="preserve">, when the UE-eNB RTT </w:t>
      </w:r>
      <w:r w:rsidR="0015455C">
        <w:rPr>
          <w:b/>
        </w:rPr>
        <w:t>is shorter than the UL-DL gap</w:t>
      </w:r>
      <w:r w:rsidRPr="00890EB8">
        <w:rPr>
          <w:b/>
        </w:rPr>
        <w:t>.</w:t>
      </w:r>
    </w:p>
    <w:p w14:paraId="45F118F9" w14:textId="4C811E94" w:rsidR="001348F3" w:rsidRDefault="00972C42" w:rsidP="008B549E">
      <w:pPr>
        <w:rPr>
          <w:bCs/>
        </w:rPr>
      </w:pPr>
      <w:r w:rsidRPr="00972C42">
        <w:rPr>
          <w:bCs/>
        </w:rPr>
        <w:t xml:space="preserve">Within the 90ms, for one cell, </w:t>
      </w:r>
      <w:r>
        <w:rPr>
          <w:bCs/>
        </w:rPr>
        <w:t xml:space="preserve">only one pair of </w:t>
      </w:r>
      <w:r w:rsidRPr="00972C42">
        <w:rPr>
          <w:bCs/>
        </w:rPr>
        <w:t xml:space="preserve">UL and DL occasions </w:t>
      </w:r>
      <w:r>
        <w:rPr>
          <w:bCs/>
        </w:rPr>
        <w:t xml:space="preserve">can be used for the UEs served by the cell. For the other </w:t>
      </w:r>
      <w:r w:rsidR="007527AA">
        <w:rPr>
          <w:bCs/>
        </w:rPr>
        <w:t>occasions and the gaps between the occasions</w:t>
      </w:r>
      <w:r>
        <w:rPr>
          <w:bCs/>
        </w:rPr>
        <w:t xml:space="preserve">, it </w:t>
      </w:r>
      <w:r w:rsidR="007527AA">
        <w:rPr>
          <w:bCs/>
        </w:rPr>
        <w:t>can be regarded as</w:t>
      </w:r>
      <w:r>
        <w:rPr>
          <w:bCs/>
        </w:rPr>
        <w:t xml:space="preserve"> unavailable</w:t>
      </w:r>
      <w:r w:rsidR="007527AA">
        <w:rPr>
          <w:bCs/>
        </w:rPr>
        <w:t xml:space="preserve"> subframes. For UE in RRC idle</w:t>
      </w:r>
      <w:r w:rsidR="00596105">
        <w:rPr>
          <w:bCs/>
        </w:rPr>
        <w:t xml:space="preserve"> </w:t>
      </w:r>
      <w:r w:rsidR="00596105">
        <w:rPr>
          <w:bCs/>
        </w:rPr>
        <w:lastRenderedPageBreak/>
        <w:t>state</w:t>
      </w:r>
      <w:r w:rsidR="007527AA">
        <w:rPr>
          <w:bCs/>
        </w:rPr>
        <w:t xml:space="preserve">, </w:t>
      </w:r>
      <w:r w:rsidR="001348F3">
        <w:rPr>
          <w:bCs/>
        </w:rPr>
        <w:t>the UE may however still be able</w:t>
      </w:r>
      <w:r w:rsidR="00713BC0">
        <w:rPr>
          <w:bCs/>
        </w:rPr>
        <w:t xml:space="preserve"> </w:t>
      </w:r>
      <w:r w:rsidR="001348F3">
        <w:rPr>
          <w:bCs/>
        </w:rPr>
        <w:t xml:space="preserve">to measure neighbor cells in </w:t>
      </w:r>
      <w:r w:rsidR="00713BC0">
        <w:rPr>
          <w:bCs/>
        </w:rPr>
        <w:t>the subframes, which are unavailable on the serving cell, because the neighbor cell(s) may use different pair(s) of UL and DL.</w:t>
      </w:r>
    </w:p>
    <w:p w14:paraId="57CD0B83" w14:textId="3B28AAB4" w:rsidR="00F90DD3" w:rsidRDefault="00596105" w:rsidP="008B549E">
      <w:pPr>
        <w:rPr>
          <w:bCs/>
        </w:rPr>
      </w:pPr>
      <w:r>
        <w:rPr>
          <w:bCs/>
        </w:rPr>
        <w:t xml:space="preserve">For UE in RRC Connected state, </w:t>
      </w:r>
      <w:r w:rsidR="00F90DD3">
        <w:rPr>
          <w:bCs/>
        </w:rPr>
        <w:t xml:space="preserve">we think one approach can be to </w:t>
      </w:r>
      <w:r w:rsidR="008563A6">
        <w:rPr>
          <w:bCs/>
        </w:rPr>
        <w:t>base</w:t>
      </w:r>
      <w:r w:rsidR="00E06D32">
        <w:rPr>
          <w:bCs/>
        </w:rPr>
        <w:t xml:space="preserve"> the UE behavior on what </w:t>
      </w:r>
      <w:r w:rsidR="00EB1286">
        <w:rPr>
          <w:bCs/>
        </w:rPr>
        <w:t xml:space="preserve">was agreed </w:t>
      </w:r>
      <w:r w:rsidR="00003BB5">
        <w:rPr>
          <w:bCs/>
        </w:rPr>
        <w:t>for GNSS measurement</w:t>
      </w:r>
      <w:r w:rsidR="005646A4">
        <w:rPr>
          <w:bCs/>
        </w:rPr>
        <w:t xml:space="preserve"> gaps for NB-IoT. </w:t>
      </w:r>
      <w:r w:rsidR="00664F33">
        <w:rPr>
          <w:bCs/>
        </w:rPr>
        <w:t>The stage 2 defines</w:t>
      </w:r>
      <w:r w:rsidR="00655F11">
        <w:rPr>
          <w:bCs/>
        </w:rPr>
        <w:t xml:space="preserve"> the following:</w:t>
      </w:r>
    </w:p>
    <w:tbl>
      <w:tblPr>
        <w:tblStyle w:val="TableGrid"/>
        <w:tblW w:w="0" w:type="auto"/>
        <w:tblLook w:val="04A0" w:firstRow="1" w:lastRow="0" w:firstColumn="1" w:lastColumn="0" w:noHBand="0" w:noVBand="1"/>
      </w:tblPr>
      <w:tblGrid>
        <w:gridCol w:w="9631"/>
      </w:tblGrid>
      <w:tr w:rsidR="00655F11" w14:paraId="4FBAE118" w14:textId="77777777" w:rsidTr="00655F11">
        <w:tc>
          <w:tcPr>
            <w:tcW w:w="9631" w:type="dxa"/>
          </w:tcPr>
          <w:p w14:paraId="6FA2B306" w14:textId="37542254" w:rsidR="00655F11" w:rsidRPr="00A624B7" w:rsidRDefault="00655F11" w:rsidP="00A624B7">
            <w:pPr>
              <w:keepLines/>
              <w:overflowPunct w:val="0"/>
              <w:autoSpaceDE w:val="0"/>
              <w:autoSpaceDN w:val="0"/>
              <w:adjustRightInd w:val="0"/>
              <w:ind w:left="1135" w:hanging="851"/>
              <w:rPr>
                <w:rFonts w:eastAsia="Times New Roman"/>
                <w:lang w:eastAsia="en-GB"/>
              </w:rPr>
            </w:pPr>
            <w:r w:rsidRPr="00655F11">
              <w:rPr>
                <w:rFonts w:eastAsia="Times New Roman"/>
                <w:lang w:eastAsia="en-GB"/>
              </w:rPr>
              <w:t>NOTE:</w:t>
            </w:r>
            <w:r w:rsidRPr="00655F11">
              <w:rPr>
                <w:rFonts w:eastAsia="Times New Roman"/>
                <w:lang w:eastAsia="en-GB"/>
              </w:rPr>
              <w:tab/>
              <w:t>The AS operations (e.g. RLM related timers, dataInactivityTimer, CHO execution, neighbour cell measurement, RACH, SR, and BSR) are suspended when UE is performing GNSS acquisition and resumed when the GNSS acquisition is completed.</w:t>
            </w:r>
          </w:p>
        </w:tc>
      </w:tr>
    </w:tbl>
    <w:p w14:paraId="7C07659C" w14:textId="77777777" w:rsidR="00003C00" w:rsidRPr="00003C00" w:rsidRDefault="00003C00" w:rsidP="008B549E">
      <w:pPr>
        <w:rPr>
          <w:bCs/>
          <w:sz w:val="2"/>
          <w:szCs w:val="2"/>
        </w:rPr>
      </w:pPr>
    </w:p>
    <w:p w14:paraId="5E1A68B7" w14:textId="722389B2" w:rsidR="00655F11" w:rsidRDefault="00A259AA" w:rsidP="008B549E">
      <w:pPr>
        <w:rPr>
          <w:bCs/>
        </w:rPr>
      </w:pPr>
      <w:r>
        <w:rPr>
          <w:bCs/>
        </w:rPr>
        <w:t xml:space="preserve">Differently from the </w:t>
      </w:r>
      <w:r w:rsidR="00003C00">
        <w:rPr>
          <w:rFonts w:hint="eastAsia"/>
          <w:bCs/>
          <w:lang w:eastAsia="zh-CN"/>
        </w:rPr>
        <w:t>NOTE</w:t>
      </w:r>
      <w:r>
        <w:rPr>
          <w:bCs/>
        </w:rPr>
        <w:t>, for</w:t>
      </w:r>
      <w:r w:rsidR="003B0D3D">
        <w:rPr>
          <w:bCs/>
        </w:rPr>
        <w:t xml:space="preserve"> the NB-IoT TDD NTN operation</w:t>
      </w:r>
      <w:r>
        <w:rPr>
          <w:bCs/>
        </w:rPr>
        <w:t xml:space="preserve"> the neighbor cell measurement can still be performed </w:t>
      </w:r>
      <w:r w:rsidR="00BF379E">
        <w:rPr>
          <w:bCs/>
        </w:rPr>
        <w:t xml:space="preserve">outside the </w:t>
      </w:r>
      <w:r w:rsidR="00BB4B05">
        <w:rPr>
          <w:bCs/>
        </w:rPr>
        <w:t>UL-DL pair of the serving cell</w:t>
      </w:r>
      <w:r w:rsidR="00622B9B">
        <w:rPr>
          <w:bCs/>
        </w:rPr>
        <w:t xml:space="preserve">, while </w:t>
      </w:r>
      <w:r w:rsidR="004C4317">
        <w:rPr>
          <w:bCs/>
        </w:rPr>
        <w:t>the other UE AS operations</w:t>
      </w:r>
      <w:r w:rsidR="00AE7631">
        <w:rPr>
          <w:bCs/>
        </w:rPr>
        <w:t xml:space="preserve"> such as RLM and RACH shall be suspended.</w:t>
      </w:r>
    </w:p>
    <w:p w14:paraId="218940E9" w14:textId="77777777" w:rsidR="00E741DC" w:rsidRDefault="00E741DC" w:rsidP="00E741DC">
      <w:pPr>
        <w:rPr>
          <w:b/>
        </w:rPr>
      </w:pPr>
      <w:r>
        <w:rPr>
          <w:b/>
        </w:rPr>
        <w:t>Proposal</w:t>
      </w:r>
      <w:r>
        <w:rPr>
          <w:rFonts w:hint="eastAsia"/>
          <w:b/>
          <w:lang w:eastAsia="zh-CN"/>
        </w:rPr>
        <w:t xml:space="preserve"> 2</w:t>
      </w:r>
      <w:r>
        <w:rPr>
          <w:b/>
        </w:rPr>
        <w:t xml:space="preserve">: RAN2 to discuss reusing the AS operation from GNSS </w:t>
      </w:r>
      <w:r>
        <w:rPr>
          <w:rFonts w:hint="eastAsia"/>
          <w:b/>
          <w:lang w:eastAsia="zh-CN"/>
        </w:rPr>
        <w:t>measurement gap</w:t>
      </w:r>
      <w:r>
        <w:rPr>
          <w:b/>
        </w:rPr>
        <w:t xml:space="preserve"> for </w:t>
      </w:r>
      <w:r>
        <w:rPr>
          <w:rFonts w:hint="eastAsia"/>
          <w:b/>
          <w:lang w:eastAsia="zh-CN"/>
        </w:rPr>
        <w:t xml:space="preserve">RRC Connected UE working in </w:t>
      </w:r>
      <w:r>
        <w:rPr>
          <w:b/>
        </w:rPr>
        <w:t>NB-IoT TDD NTN, except the neighbor cell measurement which is possible outside the serving cell’s UL-DL pair.</w:t>
      </w:r>
    </w:p>
    <w:p w14:paraId="6B98B580" w14:textId="0543B3CB" w:rsidR="00003C00" w:rsidRPr="00003C00" w:rsidRDefault="00003C00" w:rsidP="008B549E">
      <w:pPr>
        <w:rPr>
          <w:bCs/>
        </w:rPr>
      </w:pPr>
      <w:r w:rsidRPr="00003C00">
        <w:rPr>
          <w:bCs/>
        </w:rPr>
        <w:t xml:space="preserve">In NB-IoT, SIB1-NB is scheduled with a fixed periodicity of 2560ms, it is transmitted on subframe 4 of every other frame and 8 subframes makes up one transport block. For TDD mode, RAN1#120 discussed how to handle the SIB1-NB repetition and segmentation falls in non-D NB-IoT subframes. However, there is no conclusion reached yet.  </w:t>
      </w:r>
    </w:p>
    <w:tbl>
      <w:tblPr>
        <w:tblStyle w:val="TableGrid"/>
        <w:tblW w:w="0" w:type="auto"/>
        <w:tblLook w:val="04A0" w:firstRow="1" w:lastRow="0" w:firstColumn="1" w:lastColumn="0" w:noHBand="0" w:noVBand="1"/>
      </w:tblPr>
      <w:tblGrid>
        <w:gridCol w:w="9631"/>
      </w:tblGrid>
      <w:tr w:rsidR="007320BF" w14:paraId="4D01DB4B" w14:textId="77777777" w:rsidTr="007320BF">
        <w:tc>
          <w:tcPr>
            <w:tcW w:w="9631" w:type="dxa"/>
          </w:tcPr>
          <w:p w14:paraId="77225D6B" w14:textId="51F6FEB6" w:rsidR="00AA14C9" w:rsidRPr="00F17715" w:rsidRDefault="00AA14C9" w:rsidP="00AA14C9">
            <w:pPr>
              <w:rPr>
                <w:lang w:val="en-US"/>
              </w:rPr>
            </w:pPr>
            <w:r w:rsidRPr="00F17715">
              <w:rPr>
                <w:highlight w:val="green"/>
                <w:lang w:val="en-US"/>
              </w:rPr>
              <w:t>Agreement</w:t>
            </w:r>
            <w:r>
              <w:rPr>
                <w:lang w:val="en-US"/>
              </w:rPr>
              <w:t xml:space="preserve"> (RAN1 #1</w:t>
            </w:r>
            <w:r>
              <w:rPr>
                <w:rFonts w:hint="eastAsia"/>
                <w:lang w:val="en-US" w:eastAsia="zh-CN"/>
              </w:rPr>
              <w:t>20</w:t>
            </w:r>
            <w:r>
              <w:rPr>
                <w:lang w:val="en-US"/>
              </w:rPr>
              <w:t>)</w:t>
            </w:r>
          </w:p>
          <w:p w14:paraId="0A77A099" w14:textId="77777777" w:rsidR="007320BF" w:rsidRPr="007320BF" w:rsidRDefault="007320BF" w:rsidP="007320BF">
            <w:pPr>
              <w:rPr>
                <w:bCs/>
                <w:lang w:val="en-US" w:eastAsia="zh-CN"/>
              </w:rPr>
            </w:pPr>
            <w:r w:rsidRPr="007320BF">
              <w:rPr>
                <w:bCs/>
                <w:lang w:eastAsia="zh-CN"/>
              </w:rPr>
              <w:t xml:space="preserve">NPSS/NSSS/NPBCH transmissions are dropped in non-D NB-IoT subframes </w:t>
            </w:r>
          </w:p>
          <w:p w14:paraId="2A58CDF2" w14:textId="77777777" w:rsidR="007320BF" w:rsidRPr="007320BF" w:rsidRDefault="007320BF" w:rsidP="007320BF">
            <w:pPr>
              <w:numPr>
                <w:ilvl w:val="0"/>
                <w:numId w:val="24"/>
              </w:numPr>
              <w:rPr>
                <w:bCs/>
                <w:lang w:val="en-US" w:eastAsia="zh-CN"/>
              </w:rPr>
            </w:pPr>
            <w:r w:rsidRPr="007320BF">
              <w:rPr>
                <w:bCs/>
                <w:lang w:eastAsia="zh-CN"/>
              </w:rPr>
              <w:t>NOTE: “non-D NB-IoT subframes” are subframes not contained within the set of D=8 usable consecutive downlink subframes in the TDD structure.</w:t>
            </w:r>
          </w:p>
          <w:p w14:paraId="54C60D87" w14:textId="0537BD50" w:rsidR="007320BF" w:rsidRPr="007320BF" w:rsidRDefault="007320BF" w:rsidP="007320BF">
            <w:pPr>
              <w:numPr>
                <w:ilvl w:val="0"/>
                <w:numId w:val="24"/>
              </w:numPr>
              <w:rPr>
                <w:bCs/>
                <w:lang w:val="en-US" w:eastAsia="zh-CN"/>
              </w:rPr>
            </w:pPr>
            <w:r w:rsidRPr="007320BF">
              <w:rPr>
                <w:bCs/>
                <w:highlight w:val="yellow"/>
                <w:lang w:eastAsia="zh-CN"/>
              </w:rPr>
              <w:t>FFS: handling for SIB1-NB</w:t>
            </w:r>
          </w:p>
        </w:tc>
      </w:tr>
    </w:tbl>
    <w:p w14:paraId="08444BEB" w14:textId="77777777" w:rsidR="00506D17" w:rsidRPr="005E0B7F" w:rsidRDefault="00506D17" w:rsidP="005F07F6">
      <w:pPr>
        <w:rPr>
          <w:bCs/>
          <w:sz w:val="2"/>
          <w:szCs w:val="2"/>
          <w:lang w:eastAsia="zh-CN"/>
        </w:rPr>
      </w:pPr>
    </w:p>
    <w:p w14:paraId="6256CCC9" w14:textId="4582038D" w:rsidR="00506D17" w:rsidRDefault="000E0FE9" w:rsidP="005F07F6">
      <w:pPr>
        <w:rPr>
          <w:bCs/>
          <w:lang w:eastAsia="zh-CN"/>
        </w:rPr>
      </w:pPr>
      <w:r>
        <w:rPr>
          <w:rFonts w:hint="eastAsia"/>
          <w:bCs/>
          <w:lang w:eastAsia="zh-CN"/>
        </w:rPr>
        <w:t>If</w:t>
      </w:r>
      <w:r w:rsidR="00506D17">
        <w:rPr>
          <w:rFonts w:hint="eastAsia"/>
          <w:bCs/>
          <w:lang w:eastAsia="zh-CN"/>
        </w:rPr>
        <w:t xml:space="preserve"> the SIB1-NB </w:t>
      </w:r>
      <w:r w:rsidR="006C0901">
        <w:rPr>
          <w:rFonts w:hint="eastAsia"/>
          <w:bCs/>
          <w:lang w:eastAsia="zh-CN"/>
        </w:rPr>
        <w:t>repetition</w:t>
      </w:r>
      <w:r>
        <w:rPr>
          <w:rFonts w:hint="eastAsia"/>
          <w:bCs/>
          <w:lang w:eastAsia="zh-CN"/>
        </w:rPr>
        <w:t>s</w:t>
      </w:r>
      <w:r w:rsidR="006C0901">
        <w:rPr>
          <w:rFonts w:hint="eastAsia"/>
          <w:bCs/>
          <w:lang w:eastAsia="zh-CN"/>
        </w:rPr>
        <w:t xml:space="preserve"> and </w:t>
      </w:r>
      <w:r w:rsidR="006C0901">
        <w:rPr>
          <w:bCs/>
          <w:lang w:eastAsia="zh-CN"/>
        </w:rPr>
        <w:t>segmentation</w:t>
      </w:r>
      <w:r>
        <w:rPr>
          <w:rFonts w:hint="eastAsia"/>
          <w:bCs/>
          <w:lang w:eastAsia="zh-CN"/>
        </w:rPr>
        <w:t>s are dropped</w:t>
      </w:r>
      <w:r w:rsidR="006C0901">
        <w:rPr>
          <w:rFonts w:hint="eastAsia"/>
          <w:bCs/>
          <w:lang w:eastAsia="zh-CN"/>
        </w:rPr>
        <w:t xml:space="preserve"> </w:t>
      </w:r>
      <w:r w:rsidR="00506D17">
        <w:rPr>
          <w:rFonts w:hint="eastAsia"/>
          <w:bCs/>
          <w:lang w:eastAsia="zh-CN"/>
        </w:rPr>
        <w:t xml:space="preserve">in </w:t>
      </w:r>
      <w:r>
        <w:rPr>
          <w:rFonts w:hint="eastAsia"/>
          <w:bCs/>
          <w:lang w:eastAsia="zh-CN"/>
        </w:rPr>
        <w:t xml:space="preserve">the </w:t>
      </w:r>
      <w:r w:rsidR="00506D17">
        <w:rPr>
          <w:rFonts w:hint="eastAsia"/>
          <w:bCs/>
          <w:lang w:eastAsia="zh-CN"/>
        </w:rPr>
        <w:t xml:space="preserve">non-DL subframes, </w:t>
      </w:r>
      <w:r w:rsidR="006803CF">
        <w:rPr>
          <w:rFonts w:hint="eastAsia"/>
          <w:bCs/>
          <w:lang w:eastAsia="zh-CN"/>
        </w:rPr>
        <w:t xml:space="preserve">it is not clear </w:t>
      </w:r>
      <w:r w:rsidR="00B24A7E">
        <w:rPr>
          <w:rFonts w:hint="eastAsia"/>
          <w:bCs/>
          <w:lang w:eastAsia="zh-CN"/>
        </w:rPr>
        <w:t>whether</w:t>
      </w:r>
      <w:r w:rsidR="00160903">
        <w:rPr>
          <w:rFonts w:hint="eastAsia"/>
          <w:bCs/>
          <w:lang w:eastAsia="zh-CN"/>
        </w:rPr>
        <w:t xml:space="preserve"> </w:t>
      </w:r>
      <w:r w:rsidR="00726F0E">
        <w:rPr>
          <w:rFonts w:hint="eastAsia"/>
          <w:bCs/>
          <w:lang w:eastAsia="zh-CN"/>
        </w:rPr>
        <w:t xml:space="preserve">the </w:t>
      </w:r>
      <w:r w:rsidR="00737A38">
        <w:rPr>
          <w:rFonts w:hint="eastAsia"/>
          <w:bCs/>
          <w:lang w:eastAsia="zh-CN"/>
        </w:rPr>
        <w:t xml:space="preserve">SIB1-NB coverage performance can be </w:t>
      </w:r>
      <w:r w:rsidR="00737A38">
        <w:rPr>
          <w:bCs/>
          <w:lang w:eastAsia="zh-CN"/>
        </w:rPr>
        <w:t>guaranteed</w:t>
      </w:r>
      <w:r w:rsidR="00737A38">
        <w:rPr>
          <w:rFonts w:hint="eastAsia"/>
          <w:bCs/>
          <w:lang w:eastAsia="zh-CN"/>
        </w:rPr>
        <w:t xml:space="preserve">. </w:t>
      </w:r>
      <w:r w:rsidR="00A42CF1">
        <w:rPr>
          <w:rFonts w:hint="eastAsia"/>
          <w:bCs/>
          <w:lang w:eastAsia="zh-CN"/>
        </w:rPr>
        <w:t xml:space="preserve">Therefore, </w:t>
      </w:r>
      <w:r w:rsidR="00DD38F6">
        <w:rPr>
          <w:rFonts w:hint="eastAsia"/>
          <w:bCs/>
          <w:lang w:eastAsia="zh-CN"/>
        </w:rPr>
        <w:t xml:space="preserve">it is not clear whether </w:t>
      </w:r>
      <w:r w:rsidR="00B24A7E">
        <w:rPr>
          <w:rFonts w:hint="eastAsia"/>
          <w:bCs/>
          <w:lang w:eastAsia="zh-CN"/>
        </w:rPr>
        <w:t>more transmission opportunities</w:t>
      </w:r>
      <w:r w:rsidR="00DD38F6">
        <w:rPr>
          <w:rFonts w:hint="eastAsia"/>
          <w:bCs/>
          <w:lang w:eastAsia="zh-CN"/>
        </w:rPr>
        <w:t xml:space="preserve"> should be scheduled for SIB1-NB</w:t>
      </w:r>
      <w:r w:rsidR="00160903">
        <w:rPr>
          <w:rFonts w:hint="eastAsia"/>
          <w:bCs/>
          <w:lang w:eastAsia="zh-CN"/>
        </w:rPr>
        <w:t xml:space="preserve">. </w:t>
      </w:r>
      <w:r w:rsidR="00DD38F6">
        <w:rPr>
          <w:rFonts w:hint="eastAsia"/>
          <w:bCs/>
          <w:lang w:eastAsia="zh-CN"/>
        </w:rPr>
        <w:t>W</w:t>
      </w:r>
      <w:r w:rsidR="00160903">
        <w:rPr>
          <w:rFonts w:hint="eastAsia"/>
          <w:bCs/>
          <w:lang w:eastAsia="zh-CN"/>
        </w:rPr>
        <w:t>e propose</w:t>
      </w:r>
      <w:r w:rsidR="007B2162">
        <w:rPr>
          <w:bCs/>
          <w:lang w:eastAsia="zh-CN"/>
        </w:rPr>
        <w:t xml:space="preserve"> RAN2</w:t>
      </w:r>
      <w:r w:rsidR="00160903">
        <w:rPr>
          <w:rFonts w:hint="eastAsia"/>
          <w:bCs/>
          <w:lang w:eastAsia="zh-CN"/>
        </w:rPr>
        <w:t xml:space="preserve"> to wait for RAN1 conclusion</w:t>
      </w:r>
      <w:r w:rsidR="00B24A7E">
        <w:rPr>
          <w:rFonts w:hint="eastAsia"/>
          <w:bCs/>
          <w:lang w:eastAsia="zh-CN"/>
        </w:rPr>
        <w:t xml:space="preserve"> </w:t>
      </w:r>
      <w:r w:rsidR="00C56171">
        <w:rPr>
          <w:rFonts w:hint="eastAsia"/>
          <w:bCs/>
          <w:lang w:eastAsia="zh-CN"/>
        </w:rPr>
        <w:t>to decide whether the SIB</w:t>
      </w:r>
      <w:r w:rsidR="00410547">
        <w:rPr>
          <w:bCs/>
          <w:lang w:eastAsia="zh-CN"/>
        </w:rPr>
        <w:t>1</w:t>
      </w:r>
      <w:r w:rsidR="00C56171">
        <w:rPr>
          <w:rFonts w:hint="eastAsia"/>
          <w:bCs/>
          <w:lang w:eastAsia="zh-CN"/>
        </w:rPr>
        <w:t>-NB scheduling scheme should be changed.</w:t>
      </w:r>
    </w:p>
    <w:p w14:paraId="273260FE" w14:textId="059F0FBA" w:rsidR="008F3F02" w:rsidRPr="00A624B7" w:rsidRDefault="008F3F02" w:rsidP="008F3F02">
      <w:pPr>
        <w:rPr>
          <w:b/>
        </w:rPr>
      </w:pPr>
      <w:r>
        <w:rPr>
          <w:b/>
        </w:rPr>
        <w:t>Proposal</w:t>
      </w:r>
      <w:r>
        <w:rPr>
          <w:rFonts w:hint="eastAsia"/>
          <w:b/>
          <w:lang w:eastAsia="zh-CN"/>
        </w:rPr>
        <w:t xml:space="preserve"> </w:t>
      </w:r>
      <w:r w:rsidR="00EF5003">
        <w:rPr>
          <w:rFonts w:hint="eastAsia"/>
          <w:b/>
          <w:lang w:eastAsia="zh-CN"/>
        </w:rPr>
        <w:t>3</w:t>
      </w:r>
      <w:r>
        <w:rPr>
          <w:b/>
        </w:rPr>
        <w:t xml:space="preserve">: RAN2 to </w:t>
      </w:r>
      <w:r w:rsidR="00DD38F6">
        <w:rPr>
          <w:rFonts w:hint="eastAsia"/>
          <w:b/>
          <w:lang w:eastAsia="zh-CN"/>
        </w:rPr>
        <w:t xml:space="preserve">wait for RAN1 conclusion on </w:t>
      </w:r>
      <w:r w:rsidR="00D100A7">
        <w:rPr>
          <w:rFonts w:hint="eastAsia"/>
          <w:b/>
          <w:lang w:eastAsia="zh-CN"/>
        </w:rPr>
        <w:t>how to handle SIB1-NB in non-DL subframes</w:t>
      </w:r>
      <w:r w:rsidR="00EF5003">
        <w:rPr>
          <w:rFonts w:hint="eastAsia"/>
          <w:b/>
          <w:lang w:eastAsia="zh-CN"/>
        </w:rPr>
        <w:t>, to decide whether the SIB1-NB scheduling scheme should be changed</w:t>
      </w:r>
      <w:r>
        <w:rPr>
          <w:b/>
        </w:rPr>
        <w:t>.</w:t>
      </w:r>
    </w:p>
    <w:p w14:paraId="6EF0BBD9" w14:textId="77777777" w:rsidR="00EF5003" w:rsidRDefault="00EF5003" w:rsidP="00EF5003">
      <w:pPr>
        <w:rPr>
          <w:bCs/>
        </w:rPr>
      </w:pPr>
      <w:r>
        <w:rPr>
          <w:bCs/>
        </w:rPr>
        <w:t>At RAN2 #129, the extension of the Kmac value was discussed. Currently, the Kmac (</w:t>
      </w:r>
      <w:r w:rsidRPr="00291205">
        <w:rPr>
          <w:bCs/>
        </w:rPr>
        <w:t>Scheduling offset used when downlink and uplink frame timing are not aligned at the eNB</w:t>
      </w:r>
      <w:r>
        <w:rPr>
          <w:bCs/>
        </w:rPr>
        <w:t>) is in the range 1-512 ms, and 0 ms when not configured by RRC. In our view, 512 ms allows for a very long propagation distance (including one or more hops via inter-satellite links). For example, assuming a satellite altitude of 600 km and Earth radius of about 6400 km, the circumference is approximately 44</w:t>
      </w:r>
      <w:r>
        <w:rPr>
          <w:rFonts w:hint="eastAsia"/>
          <w:bCs/>
          <w:lang w:eastAsia="zh-CN"/>
        </w:rPr>
        <w:t>,</w:t>
      </w:r>
      <w:r>
        <w:rPr>
          <w:bCs/>
        </w:rPr>
        <w:t>000 km, which results in a propagation time of less than 150 ms</w:t>
      </w:r>
      <w:r>
        <w:rPr>
          <w:rFonts w:hint="eastAsia"/>
          <w:bCs/>
          <w:lang w:eastAsia="zh-CN"/>
        </w:rPr>
        <w:t xml:space="preserve"> with multiple hops of inter-satellite link</w:t>
      </w:r>
      <w:r>
        <w:rPr>
          <w:bCs/>
        </w:rPr>
        <w:t xml:space="preserve">. Thus, with the current Kmac value </w:t>
      </w:r>
      <w:r>
        <w:rPr>
          <w:rFonts w:hint="eastAsia"/>
          <w:bCs/>
          <w:lang w:eastAsia="zh-CN"/>
        </w:rPr>
        <w:t xml:space="preserve">range </w:t>
      </w:r>
      <w:r>
        <w:rPr>
          <w:bCs/>
        </w:rPr>
        <w:t>it is already possible for the signal to travel around the Earth and still have hundreds of ms (512 ms - 150 ms ≈ 350 ms) for on-board processing in the satellites.</w:t>
      </w:r>
    </w:p>
    <w:p w14:paraId="16339159" w14:textId="279B610B" w:rsidR="00EF5003" w:rsidRDefault="00EF5003" w:rsidP="00EF5003">
      <w:pPr>
        <w:rPr>
          <w:bCs/>
          <w:lang w:eastAsia="zh-CN"/>
        </w:rPr>
      </w:pPr>
      <w:r>
        <w:rPr>
          <w:bCs/>
        </w:rPr>
        <w:t>We therefore kindly ask the proponents to further clarify the scenario where this Kmac value extension is needed, in particular noting that it will mean legacy release 17 and 18 NTN UEs cannot access the cell using an extended Kmac value.</w:t>
      </w:r>
      <w:r w:rsidR="004E3037">
        <w:rPr>
          <w:rFonts w:hint="eastAsia"/>
          <w:bCs/>
          <w:lang w:eastAsia="zh-CN"/>
        </w:rPr>
        <w:t xml:space="preserve"> Based on </w:t>
      </w:r>
      <w:r w:rsidR="00F43B0B">
        <w:rPr>
          <w:rFonts w:hint="eastAsia"/>
          <w:bCs/>
          <w:lang w:eastAsia="zh-CN"/>
        </w:rPr>
        <w:t>that</w:t>
      </w:r>
      <w:r w:rsidR="004E3037">
        <w:rPr>
          <w:rFonts w:hint="eastAsia"/>
          <w:bCs/>
          <w:lang w:eastAsia="zh-CN"/>
        </w:rPr>
        <w:t xml:space="preserve">, RAN2 can </w:t>
      </w:r>
      <w:r w:rsidR="00376FD7">
        <w:rPr>
          <w:rFonts w:hint="eastAsia"/>
          <w:bCs/>
          <w:lang w:eastAsia="zh-CN"/>
        </w:rPr>
        <w:t>identify</w:t>
      </w:r>
      <w:r w:rsidR="004E3037">
        <w:rPr>
          <w:rFonts w:hint="eastAsia"/>
          <w:bCs/>
          <w:lang w:eastAsia="zh-CN"/>
        </w:rPr>
        <w:t xml:space="preserve"> the scenarios to be supported with </w:t>
      </w:r>
      <w:r w:rsidR="00F43B0B">
        <w:rPr>
          <w:rFonts w:hint="eastAsia"/>
          <w:bCs/>
          <w:lang w:eastAsia="zh-CN"/>
        </w:rPr>
        <w:t xml:space="preserve">the </w:t>
      </w:r>
      <w:r w:rsidR="004E3037">
        <w:rPr>
          <w:rFonts w:hint="eastAsia"/>
          <w:bCs/>
          <w:lang w:eastAsia="zh-CN"/>
        </w:rPr>
        <w:t>extended Kmac.</w:t>
      </w:r>
    </w:p>
    <w:p w14:paraId="535BBAC7" w14:textId="3B6A63BF" w:rsidR="00EF5003" w:rsidRDefault="00EF5003" w:rsidP="00EF5003">
      <w:pPr>
        <w:rPr>
          <w:b/>
        </w:rPr>
      </w:pPr>
      <w:r>
        <w:rPr>
          <w:b/>
        </w:rPr>
        <w:t>Proposal</w:t>
      </w:r>
      <w:r>
        <w:rPr>
          <w:rFonts w:hint="eastAsia"/>
          <w:b/>
          <w:lang w:eastAsia="zh-CN"/>
        </w:rPr>
        <w:t xml:space="preserve"> </w:t>
      </w:r>
      <w:r w:rsidR="00F147F6">
        <w:rPr>
          <w:rFonts w:hint="eastAsia"/>
          <w:b/>
          <w:lang w:eastAsia="zh-CN"/>
        </w:rPr>
        <w:t>4</w:t>
      </w:r>
      <w:r>
        <w:rPr>
          <w:b/>
        </w:rPr>
        <w:t xml:space="preserve">: RAN2 to confirm that extending the Kmac beyond 512 ms will block the cell for legacy release 17 and 18 NTN UEs. </w:t>
      </w:r>
    </w:p>
    <w:p w14:paraId="61EA9A01" w14:textId="789C5B6B" w:rsidR="00596105" w:rsidRPr="00596105" w:rsidRDefault="00EF5003" w:rsidP="008B549E">
      <w:pPr>
        <w:rPr>
          <w:b/>
          <w:lang w:eastAsia="zh-CN"/>
        </w:rPr>
      </w:pPr>
      <w:r>
        <w:rPr>
          <w:rFonts w:hint="eastAsia"/>
          <w:b/>
          <w:lang w:eastAsia="zh-CN"/>
        </w:rPr>
        <w:t xml:space="preserve">Proposal </w:t>
      </w:r>
      <w:r w:rsidR="00F147F6">
        <w:rPr>
          <w:rFonts w:hint="eastAsia"/>
          <w:b/>
          <w:lang w:eastAsia="zh-CN"/>
        </w:rPr>
        <w:t>5</w:t>
      </w:r>
      <w:r>
        <w:rPr>
          <w:rFonts w:hint="eastAsia"/>
          <w:b/>
          <w:lang w:eastAsia="zh-CN"/>
        </w:rPr>
        <w:t>: Further details about the scenarios requiring an extended Kmac should be provided to justify the Kmac value extension.</w:t>
      </w:r>
    </w:p>
    <w:p w14:paraId="16CB5684" w14:textId="77777777" w:rsidR="008B549E" w:rsidRPr="006E13D1" w:rsidRDefault="008B549E" w:rsidP="008B549E">
      <w:pPr>
        <w:pStyle w:val="Heading1"/>
      </w:pPr>
      <w:r>
        <w:t>3</w:t>
      </w:r>
      <w:r w:rsidRPr="006E13D1">
        <w:tab/>
      </w:r>
      <w:r>
        <w:t>Conclusion</w:t>
      </w:r>
    </w:p>
    <w:p w14:paraId="766D4156" w14:textId="77777777" w:rsidR="008B549E" w:rsidRDefault="008B549E" w:rsidP="008B549E">
      <w:r>
        <w:t>This document has made the following observations:</w:t>
      </w:r>
    </w:p>
    <w:p w14:paraId="6C6BFCAD" w14:textId="77777777" w:rsidR="00003C00" w:rsidRPr="00890EB8" w:rsidRDefault="00003C00" w:rsidP="00003C00">
      <w:pPr>
        <w:rPr>
          <w:b/>
          <w:bCs/>
        </w:rPr>
      </w:pPr>
      <w:r w:rsidRPr="00890EB8">
        <w:rPr>
          <w:b/>
          <w:bCs/>
        </w:rPr>
        <w:lastRenderedPageBreak/>
        <w:t xml:space="preserve">Observation </w:t>
      </w:r>
      <w:r>
        <w:rPr>
          <w:b/>
          <w:bCs/>
        </w:rPr>
        <w:t>1</w:t>
      </w:r>
      <w:r w:rsidRPr="00890EB8">
        <w:rPr>
          <w:b/>
          <w:bCs/>
        </w:rPr>
        <w:t>: The 8 DL subframes of a DL occasion may have insufficient capacity to carry RAR for all UEs transmitting a preamble in the preceding UL occasion.</w:t>
      </w:r>
    </w:p>
    <w:p w14:paraId="05C96905" w14:textId="77777777" w:rsidR="00003C00" w:rsidRPr="00890EB8" w:rsidRDefault="00003C00" w:rsidP="00003C00">
      <w:pPr>
        <w:rPr>
          <w:b/>
        </w:rPr>
      </w:pPr>
      <w:r w:rsidRPr="00890EB8">
        <w:rPr>
          <w:b/>
        </w:rPr>
        <w:t xml:space="preserve">Observation </w:t>
      </w:r>
      <w:r>
        <w:rPr>
          <w:b/>
        </w:rPr>
        <w:t>2</w:t>
      </w:r>
      <w:r w:rsidRPr="00890EB8">
        <w:rPr>
          <w:b/>
        </w:rPr>
        <w:t>: The time separation between an UL and a DL occasion in the NB-IoT TDD NTN frame structure is about 25 ms.</w:t>
      </w:r>
    </w:p>
    <w:p w14:paraId="1ACE9526" w14:textId="77777777" w:rsidR="00003C00" w:rsidRPr="00890EB8" w:rsidRDefault="00003C00" w:rsidP="00003C00">
      <w:pPr>
        <w:rPr>
          <w:b/>
          <w:bCs/>
        </w:rPr>
      </w:pPr>
      <w:r w:rsidRPr="00890EB8">
        <w:rPr>
          <w:b/>
          <w:bCs/>
        </w:rPr>
        <w:t xml:space="preserve">Observation </w:t>
      </w:r>
      <w:r>
        <w:rPr>
          <w:b/>
          <w:bCs/>
        </w:rPr>
        <w:t>3</w:t>
      </w:r>
      <w:r w:rsidRPr="00890EB8">
        <w:rPr>
          <w:b/>
          <w:bCs/>
        </w:rPr>
        <w:t>: The RAR window may occur primarily during the UL-DL occasion gap if the start of the window is based on UE-eNB RTT.</w:t>
      </w:r>
    </w:p>
    <w:p w14:paraId="023C8C5B" w14:textId="77777777" w:rsidR="00003C00" w:rsidRPr="00890EB8" w:rsidRDefault="00003C00" w:rsidP="00003C00">
      <w:pPr>
        <w:rPr>
          <w:b/>
          <w:bCs/>
        </w:rPr>
      </w:pPr>
      <w:r w:rsidRPr="00890EB8">
        <w:rPr>
          <w:b/>
          <w:bCs/>
        </w:rPr>
        <w:t xml:space="preserve">Observation </w:t>
      </w:r>
      <w:r>
        <w:rPr>
          <w:b/>
          <w:bCs/>
        </w:rPr>
        <w:t>4</w:t>
      </w:r>
      <w:r w:rsidRPr="00890EB8">
        <w:rPr>
          <w:b/>
          <w:bCs/>
        </w:rPr>
        <w:t>: The Contention Resolution timer may run primarily during the UL-DL occasion gap if the start of the timer is based on UE-eNB RTT.</w:t>
      </w:r>
    </w:p>
    <w:p w14:paraId="6FF43D0F" w14:textId="77777777" w:rsidR="008B549E" w:rsidRDefault="008B549E" w:rsidP="008B549E">
      <w:pPr>
        <w:rPr>
          <w:bCs/>
        </w:rPr>
      </w:pPr>
      <w:r>
        <w:rPr>
          <w:bCs/>
        </w:rPr>
        <w:t>And proposed the following:</w:t>
      </w:r>
    </w:p>
    <w:p w14:paraId="2F5FA264" w14:textId="77777777" w:rsidR="00003C00" w:rsidRDefault="00003C00" w:rsidP="00003C00">
      <w:pPr>
        <w:rPr>
          <w:b/>
        </w:rPr>
      </w:pPr>
      <w:r w:rsidRPr="00890EB8">
        <w:rPr>
          <w:b/>
        </w:rPr>
        <w:t xml:space="preserve">Proposal </w:t>
      </w:r>
      <w:r>
        <w:rPr>
          <w:rFonts w:hint="eastAsia"/>
          <w:b/>
          <w:lang w:eastAsia="zh-CN"/>
        </w:rPr>
        <w:t>1</w:t>
      </w:r>
      <w:r w:rsidRPr="00890EB8">
        <w:rPr>
          <w:b/>
        </w:rPr>
        <w:t xml:space="preserve">: </w:t>
      </w:r>
      <w:r>
        <w:rPr>
          <w:b/>
        </w:rPr>
        <w:t>T</w:t>
      </w:r>
      <w:r w:rsidRPr="00890EB8">
        <w:rPr>
          <w:b/>
        </w:rPr>
        <w:t xml:space="preserve">he </w:t>
      </w:r>
      <w:r>
        <w:rPr>
          <w:b/>
        </w:rPr>
        <w:t xml:space="preserve">start of </w:t>
      </w:r>
      <w:r w:rsidRPr="00890EB8">
        <w:rPr>
          <w:b/>
        </w:rPr>
        <w:t xml:space="preserve">the RAR window and Contention Resolution timer </w:t>
      </w:r>
      <w:r>
        <w:rPr>
          <w:b/>
        </w:rPr>
        <w:t>shall be aligned with</w:t>
      </w:r>
      <w:r w:rsidRPr="00890EB8">
        <w:rPr>
          <w:b/>
        </w:rPr>
        <w:t xml:space="preserve"> the </w:t>
      </w:r>
      <w:r>
        <w:rPr>
          <w:b/>
        </w:rPr>
        <w:t xml:space="preserve">start of </w:t>
      </w:r>
      <w:r w:rsidRPr="00890EB8">
        <w:rPr>
          <w:b/>
        </w:rPr>
        <w:t>the DL occasions</w:t>
      </w:r>
      <w:r>
        <w:rPr>
          <w:b/>
        </w:rPr>
        <w:t>, when the UE-eNB RTT is shorter than the UL-DL gap</w:t>
      </w:r>
      <w:r w:rsidRPr="00890EB8">
        <w:rPr>
          <w:b/>
        </w:rPr>
        <w:t>.</w:t>
      </w:r>
    </w:p>
    <w:p w14:paraId="02E5A0E3" w14:textId="1E3DE72D" w:rsidR="00003C00" w:rsidRDefault="00003C00" w:rsidP="00003C00">
      <w:pPr>
        <w:rPr>
          <w:b/>
        </w:rPr>
      </w:pPr>
      <w:r>
        <w:rPr>
          <w:b/>
        </w:rPr>
        <w:t>Proposal</w:t>
      </w:r>
      <w:r>
        <w:rPr>
          <w:rFonts w:hint="eastAsia"/>
          <w:b/>
          <w:lang w:eastAsia="zh-CN"/>
        </w:rPr>
        <w:t xml:space="preserve"> 2</w:t>
      </w:r>
      <w:r>
        <w:rPr>
          <w:b/>
        </w:rPr>
        <w:t xml:space="preserve">: RAN2 to discuss reusing the AS operation from GNSS </w:t>
      </w:r>
      <w:r>
        <w:rPr>
          <w:rFonts w:hint="eastAsia"/>
          <w:b/>
          <w:lang w:eastAsia="zh-CN"/>
        </w:rPr>
        <w:t>measurement gap</w:t>
      </w:r>
      <w:r>
        <w:rPr>
          <w:b/>
        </w:rPr>
        <w:t xml:space="preserve"> for </w:t>
      </w:r>
      <w:r w:rsidR="00E741DC">
        <w:rPr>
          <w:rFonts w:hint="eastAsia"/>
          <w:b/>
          <w:lang w:eastAsia="zh-CN"/>
        </w:rPr>
        <w:t xml:space="preserve">RRC Connected UE working in </w:t>
      </w:r>
      <w:r>
        <w:rPr>
          <w:b/>
        </w:rPr>
        <w:t>NB-IoT TDD NTN, except the neighbor cell measurement which is possible outside the serving cell’s UL-DL pair.</w:t>
      </w:r>
    </w:p>
    <w:p w14:paraId="3E59CDAD" w14:textId="77777777" w:rsidR="00003C00" w:rsidRPr="00A624B7" w:rsidRDefault="00003C00" w:rsidP="00003C00">
      <w:pPr>
        <w:rPr>
          <w:b/>
        </w:rPr>
      </w:pPr>
      <w:r>
        <w:rPr>
          <w:b/>
        </w:rPr>
        <w:t>Proposal</w:t>
      </w:r>
      <w:r>
        <w:rPr>
          <w:rFonts w:hint="eastAsia"/>
          <w:b/>
          <w:lang w:eastAsia="zh-CN"/>
        </w:rPr>
        <w:t xml:space="preserve"> 3</w:t>
      </w:r>
      <w:r>
        <w:rPr>
          <w:b/>
        </w:rPr>
        <w:t xml:space="preserve">: RAN2 to </w:t>
      </w:r>
      <w:r>
        <w:rPr>
          <w:rFonts w:hint="eastAsia"/>
          <w:b/>
          <w:lang w:eastAsia="zh-CN"/>
        </w:rPr>
        <w:t>wait for RAN1 conclusion on how to handle SIB1-NB in non-DL subframes, to decide whether the SIB1-NB scheduling scheme should be changed</w:t>
      </w:r>
      <w:r>
        <w:rPr>
          <w:b/>
        </w:rPr>
        <w:t>.</w:t>
      </w:r>
    </w:p>
    <w:p w14:paraId="16343BF2" w14:textId="77777777" w:rsidR="00003C00" w:rsidRDefault="00003C00" w:rsidP="00003C00">
      <w:pPr>
        <w:rPr>
          <w:b/>
        </w:rPr>
      </w:pPr>
      <w:r>
        <w:rPr>
          <w:b/>
        </w:rPr>
        <w:t>Proposal</w:t>
      </w:r>
      <w:r>
        <w:rPr>
          <w:rFonts w:hint="eastAsia"/>
          <w:b/>
          <w:lang w:eastAsia="zh-CN"/>
        </w:rPr>
        <w:t xml:space="preserve"> 4</w:t>
      </w:r>
      <w:r>
        <w:rPr>
          <w:b/>
        </w:rPr>
        <w:t xml:space="preserve">: RAN2 to confirm that extending the Kmac beyond 512 ms will block the cell for legacy release 17 and 18 NTN UEs. </w:t>
      </w:r>
    </w:p>
    <w:p w14:paraId="0A03CB01" w14:textId="45E147D3" w:rsidR="00DE3FF2" w:rsidRPr="00003C00" w:rsidRDefault="00003C00" w:rsidP="008B549E">
      <w:pPr>
        <w:rPr>
          <w:b/>
          <w:lang w:eastAsia="zh-CN"/>
        </w:rPr>
      </w:pPr>
      <w:r>
        <w:rPr>
          <w:rFonts w:hint="eastAsia"/>
          <w:b/>
          <w:lang w:eastAsia="zh-CN"/>
        </w:rPr>
        <w:t>Proposal 5: Further details about the scenarios requiring an extended Kmac should be provided to justify the Kmac value extension.</w:t>
      </w:r>
    </w:p>
    <w:p w14:paraId="5981D961" w14:textId="5C470E17" w:rsidR="008B549E" w:rsidRDefault="00B22275" w:rsidP="00B22275">
      <w:pPr>
        <w:pStyle w:val="Heading1"/>
      </w:pPr>
      <w:r>
        <w:t>Reference</w:t>
      </w:r>
    </w:p>
    <w:p w14:paraId="39CC02C8" w14:textId="2B79104F" w:rsidR="00B22275" w:rsidRDefault="00B22275" w:rsidP="00B22275">
      <w:pPr>
        <w:pStyle w:val="ListParagraph"/>
        <w:numPr>
          <w:ilvl w:val="0"/>
          <w:numId w:val="20"/>
        </w:numPr>
      </w:pPr>
      <w:bookmarkStart w:id="9" w:name="_Ref189662008"/>
      <w:r w:rsidRPr="00B22275">
        <w:t>RP-243293</w:t>
      </w:r>
      <w:r w:rsidR="00E905A8">
        <w:t>, Iridum, “</w:t>
      </w:r>
      <w:r w:rsidR="00E905A8" w:rsidRPr="00E905A8">
        <w:t>Revised WID on introduction of IoT-NTN TDD mode</w:t>
      </w:r>
      <w:r w:rsidR="00E905A8">
        <w:t>”, December 2024</w:t>
      </w:r>
      <w:bookmarkEnd w:id="9"/>
    </w:p>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FE2F4" w14:textId="77777777" w:rsidR="00B3635C" w:rsidRDefault="00B3635C">
      <w:r>
        <w:separator/>
      </w:r>
    </w:p>
  </w:endnote>
  <w:endnote w:type="continuationSeparator" w:id="0">
    <w:p w14:paraId="52BC5CD1" w14:textId="77777777" w:rsidR="00B3635C" w:rsidRDefault="00B3635C">
      <w:r>
        <w:continuationSeparator/>
      </w:r>
    </w:p>
  </w:endnote>
  <w:endnote w:type="continuationNotice" w:id="1">
    <w:p w14:paraId="34EBEEE8" w14:textId="77777777" w:rsidR="00B3635C" w:rsidRDefault="00B3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AFFFF" w14:textId="77777777" w:rsidR="00B3635C" w:rsidRDefault="00B3635C">
      <w:r>
        <w:separator/>
      </w:r>
    </w:p>
  </w:footnote>
  <w:footnote w:type="continuationSeparator" w:id="0">
    <w:p w14:paraId="37DCD224" w14:textId="77777777" w:rsidR="00B3635C" w:rsidRDefault="00B3635C">
      <w:r>
        <w:continuationSeparator/>
      </w:r>
    </w:p>
  </w:footnote>
  <w:footnote w:type="continuationNotice" w:id="1">
    <w:p w14:paraId="340B581A" w14:textId="77777777" w:rsidR="00B3635C" w:rsidRDefault="00B363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2" w15:restartNumberingAfterBreak="0">
    <w:nsid w:val="004F721F"/>
    <w:multiLevelType w:val="hybridMultilevel"/>
    <w:tmpl w:val="9B023FE8"/>
    <w:lvl w:ilvl="0" w:tplc="398AAD9E">
      <w:start w:val="1"/>
      <w:numFmt w:val="bullet"/>
      <w:lvlText w:val="•"/>
      <w:lvlJc w:val="left"/>
      <w:pPr>
        <w:tabs>
          <w:tab w:val="num" w:pos="720"/>
        </w:tabs>
        <w:ind w:left="720" w:hanging="360"/>
      </w:pPr>
      <w:rPr>
        <w:rFonts w:ascii="Arial" w:hAnsi="Arial" w:hint="default"/>
      </w:rPr>
    </w:lvl>
    <w:lvl w:ilvl="1" w:tplc="04800846">
      <w:start w:val="1"/>
      <w:numFmt w:val="bullet"/>
      <w:lvlText w:val="•"/>
      <w:lvlJc w:val="left"/>
      <w:pPr>
        <w:tabs>
          <w:tab w:val="num" w:pos="1440"/>
        </w:tabs>
        <w:ind w:left="1440" w:hanging="360"/>
      </w:pPr>
      <w:rPr>
        <w:rFonts w:ascii="Arial" w:hAnsi="Arial" w:hint="default"/>
      </w:rPr>
    </w:lvl>
    <w:lvl w:ilvl="2" w:tplc="A678C064">
      <w:numFmt w:val="bullet"/>
      <w:lvlText w:val="•"/>
      <w:lvlJc w:val="left"/>
      <w:pPr>
        <w:tabs>
          <w:tab w:val="num" w:pos="2160"/>
        </w:tabs>
        <w:ind w:left="2160" w:hanging="360"/>
      </w:pPr>
      <w:rPr>
        <w:rFonts w:ascii="Arial" w:hAnsi="Arial" w:hint="default"/>
      </w:rPr>
    </w:lvl>
    <w:lvl w:ilvl="3" w:tplc="3D8697FA" w:tentative="1">
      <w:start w:val="1"/>
      <w:numFmt w:val="bullet"/>
      <w:lvlText w:val="•"/>
      <w:lvlJc w:val="left"/>
      <w:pPr>
        <w:tabs>
          <w:tab w:val="num" w:pos="2880"/>
        </w:tabs>
        <w:ind w:left="2880" w:hanging="360"/>
      </w:pPr>
      <w:rPr>
        <w:rFonts w:ascii="Arial" w:hAnsi="Arial" w:hint="default"/>
      </w:rPr>
    </w:lvl>
    <w:lvl w:ilvl="4" w:tplc="D70ED738" w:tentative="1">
      <w:start w:val="1"/>
      <w:numFmt w:val="bullet"/>
      <w:lvlText w:val="•"/>
      <w:lvlJc w:val="left"/>
      <w:pPr>
        <w:tabs>
          <w:tab w:val="num" w:pos="3600"/>
        </w:tabs>
        <w:ind w:left="3600" w:hanging="360"/>
      </w:pPr>
      <w:rPr>
        <w:rFonts w:ascii="Arial" w:hAnsi="Arial" w:hint="default"/>
      </w:rPr>
    </w:lvl>
    <w:lvl w:ilvl="5" w:tplc="3FCE1574" w:tentative="1">
      <w:start w:val="1"/>
      <w:numFmt w:val="bullet"/>
      <w:lvlText w:val="•"/>
      <w:lvlJc w:val="left"/>
      <w:pPr>
        <w:tabs>
          <w:tab w:val="num" w:pos="4320"/>
        </w:tabs>
        <w:ind w:left="4320" w:hanging="360"/>
      </w:pPr>
      <w:rPr>
        <w:rFonts w:ascii="Arial" w:hAnsi="Arial" w:hint="default"/>
      </w:rPr>
    </w:lvl>
    <w:lvl w:ilvl="6" w:tplc="652017A2" w:tentative="1">
      <w:start w:val="1"/>
      <w:numFmt w:val="bullet"/>
      <w:lvlText w:val="•"/>
      <w:lvlJc w:val="left"/>
      <w:pPr>
        <w:tabs>
          <w:tab w:val="num" w:pos="5040"/>
        </w:tabs>
        <w:ind w:left="5040" w:hanging="360"/>
      </w:pPr>
      <w:rPr>
        <w:rFonts w:ascii="Arial" w:hAnsi="Arial" w:hint="default"/>
      </w:rPr>
    </w:lvl>
    <w:lvl w:ilvl="7" w:tplc="02503662" w:tentative="1">
      <w:start w:val="1"/>
      <w:numFmt w:val="bullet"/>
      <w:lvlText w:val="•"/>
      <w:lvlJc w:val="left"/>
      <w:pPr>
        <w:tabs>
          <w:tab w:val="num" w:pos="5760"/>
        </w:tabs>
        <w:ind w:left="5760" w:hanging="360"/>
      </w:pPr>
      <w:rPr>
        <w:rFonts w:ascii="Arial" w:hAnsi="Arial" w:hint="default"/>
      </w:rPr>
    </w:lvl>
    <w:lvl w:ilvl="8" w:tplc="A99C33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AD5B7B"/>
    <w:multiLevelType w:val="hybridMultilevel"/>
    <w:tmpl w:val="8C24A826"/>
    <w:lvl w:ilvl="0" w:tplc="58344D9A">
      <w:start w:val="1"/>
      <w:numFmt w:val="bullet"/>
      <w:lvlText w:val="•"/>
      <w:lvlJc w:val="left"/>
      <w:pPr>
        <w:tabs>
          <w:tab w:val="num" w:pos="720"/>
        </w:tabs>
        <w:ind w:left="720" w:hanging="360"/>
      </w:pPr>
      <w:rPr>
        <w:rFonts w:ascii="Arial" w:hAnsi="Arial" w:hint="default"/>
      </w:rPr>
    </w:lvl>
    <w:lvl w:ilvl="1" w:tplc="9CF4CDBA">
      <w:start w:val="1"/>
      <w:numFmt w:val="bullet"/>
      <w:lvlText w:val="•"/>
      <w:lvlJc w:val="left"/>
      <w:pPr>
        <w:tabs>
          <w:tab w:val="num" w:pos="1440"/>
        </w:tabs>
        <w:ind w:left="1440" w:hanging="360"/>
      </w:pPr>
      <w:rPr>
        <w:rFonts w:ascii="Arial" w:hAnsi="Arial" w:hint="default"/>
      </w:rPr>
    </w:lvl>
    <w:lvl w:ilvl="2" w:tplc="E02231EE">
      <w:numFmt w:val="bullet"/>
      <w:lvlText w:val="•"/>
      <w:lvlJc w:val="left"/>
      <w:pPr>
        <w:tabs>
          <w:tab w:val="num" w:pos="2160"/>
        </w:tabs>
        <w:ind w:left="2160" w:hanging="360"/>
      </w:pPr>
      <w:rPr>
        <w:rFonts w:ascii="Arial" w:hAnsi="Arial" w:hint="default"/>
      </w:rPr>
    </w:lvl>
    <w:lvl w:ilvl="3" w:tplc="E36AEFA2">
      <w:numFmt w:val="bullet"/>
      <w:lvlText w:val="•"/>
      <w:lvlJc w:val="left"/>
      <w:pPr>
        <w:tabs>
          <w:tab w:val="num" w:pos="2880"/>
        </w:tabs>
        <w:ind w:left="2880" w:hanging="360"/>
      </w:pPr>
      <w:rPr>
        <w:rFonts w:ascii="Arial" w:hAnsi="Arial" w:hint="default"/>
      </w:rPr>
    </w:lvl>
    <w:lvl w:ilvl="4" w:tplc="CFD4ACF2" w:tentative="1">
      <w:start w:val="1"/>
      <w:numFmt w:val="bullet"/>
      <w:lvlText w:val="•"/>
      <w:lvlJc w:val="left"/>
      <w:pPr>
        <w:tabs>
          <w:tab w:val="num" w:pos="3600"/>
        </w:tabs>
        <w:ind w:left="3600" w:hanging="360"/>
      </w:pPr>
      <w:rPr>
        <w:rFonts w:ascii="Arial" w:hAnsi="Arial" w:hint="default"/>
      </w:rPr>
    </w:lvl>
    <w:lvl w:ilvl="5" w:tplc="7606679E" w:tentative="1">
      <w:start w:val="1"/>
      <w:numFmt w:val="bullet"/>
      <w:lvlText w:val="•"/>
      <w:lvlJc w:val="left"/>
      <w:pPr>
        <w:tabs>
          <w:tab w:val="num" w:pos="4320"/>
        </w:tabs>
        <w:ind w:left="4320" w:hanging="360"/>
      </w:pPr>
      <w:rPr>
        <w:rFonts w:ascii="Arial" w:hAnsi="Arial" w:hint="default"/>
      </w:rPr>
    </w:lvl>
    <w:lvl w:ilvl="6" w:tplc="8F52C74A" w:tentative="1">
      <w:start w:val="1"/>
      <w:numFmt w:val="bullet"/>
      <w:lvlText w:val="•"/>
      <w:lvlJc w:val="left"/>
      <w:pPr>
        <w:tabs>
          <w:tab w:val="num" w:pos="5040"/>
        </w:tabs>
        <w:ind w:left="5040" w:hanging="360"/>
      </w:pPr>
      <w:rPr>
        <w:rFonts w:ascii="Arial" w:hAnsi="Arial" w:hint="default"/>
      </w:rPr>
    </w:lvl>
    <w:lvl w:ilvl="7" w:tplc="E52AFB2C" w:tentative="1">
      <w:start w:val="1"/>
      <w:numFmt w:val="bullet"/>
      <w:lvlText w:val="•"/>
      <w:lvlJc w:val="left"/>
      <w:pPr>
        <w:tabs>
          <w:tab w:val="num" w:pos="5760"/>
        </w:tabs>
        <w:ind w:left="5760" w:hanging="360"/>
      </w:pPr>
      <w:rPr>
        <w:rFonts w:ascii="Arial" w:hAnsi="Arial" w:hint="default"/>
      </w:rPr>
    </w:lvl>
    <w:lvl w:ilvl="8" w:tplc="6F8EF7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3CE0838"/>
    <w:multiLevelType w:val="hybridMultilevel"/>
    <w:tmpl w:val="EECCA1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C813120"/>
    <w:multiLevelType w:val="hybridMultilevel"/>
    <w:tmpl w:val="CFB4DB7A"/>
    <w:lvl w:ilvl="0" w:tplc="41BE90A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C187196"/>
    <w:multiLevelType w:val="hybridMultilevel"/>
    <w:tmpl w:val="C2D87B30"/>
    <w:lvl w:ilvl="0" w:tplc="4282C702">
      <w:start w:val="1"/>
      <w:numFmt w:val="bullet"/>
      <w:lvlText w:val="•"/>
      <w:lvlJc w:val="left"/>
      <w:pPr>
        <w:tabs>
          <w:tab w:val="num" w:pos="720"/>
        </w:tabs>
        <w:ind w:left="720" w:hanging="360"/>
      </w:pPr>
      <w:rPr>
        <w:rFonts w:ascii="Arial" w:hAnsi="Arial" w:hint="default"/>
      </w:rPr>
    </w:lvl>
    <w:lvl w:ilvl="1" w:tplc="17BE4390" w:tentative="1">
      <w:start w:val="1"/>
      <w:numFmt w:val="bullet"/>
      <w:lvlText w:val="•"/>
      <w:lvlJc w:val="left"/>
      <w:pPr>
        <w:tabs>
          <w:tab w:val="num" w:pos="1440"/>
        </w:tabs>
        <w:ind w:left="1440" w:hanging="360"/>
      </w:pPr>
      <w:rPr>
        <w:rFonts w:ascii="Arial" w:hAnsi="Arial" w:hint="default"/>
      </w:rPr>
    </w:lvl>
    <w:lvl w:ilvl="2" w:tplc="38BE1FB6" w:tentative="1">
      <w:start w:val="1"/>
      <w:numFmt w:val="bullet"/>
      <w:lvlText w:val="•"/>
      <w:lvlJc w:val="left"/>
      <w:pPr>
        <w:tabs>
          <w:tab w:val="num" w:pos="2160"/>
        </w:tabs>
        <w:ind w:left="2160" w:hanging="360"/>
      </w:pPr>
      <w:rPr>
        <w:rFonts w:ascii="Arial" w:hAnsi="Arial" w:hint="default"/>
      </w:rPr>
    </w:lvl>
    <w:lvl w:ilvl="3" w:tplc="EE3877E0" w:tentative="1">
      <w:start w:val="1"/>
      <w:numFmt w:val="bullet"/>
      <w:lvlText w:val="•"/>
      <w:lvlJc w:val="left"/>
      <w:pPr>
        <w:tabs>
          <w:tab w:val="num" w:pos="2880"/>
        </w:tabs>
        <w:ind w:left="2880" w:hanging="360"/>
      </w:pPr>
      <w:rPr>
        <w:rFonts w:ascii="Arial" w:hAnsi="Arial" w:hint="default"/>
      </w:rPr>
    </w:lvl>
    <w:lvl w:ilvl="4" w:tplc="41A265EE" w:tentative="1">
      <w:start w:val="1"/>
      <w:numFmt w:val="bullet"/>
      <w:lvlText w:val="•"/>
      <w:lvlJc w:val="left"/>
      <w:pPr>
        <w:tabs>
          <w:tab w:val="num" w:pos="3600"/>
        </w:tabs>
        <w:ind w:left="3600" w:hanging="360"/>
      </w:pPr>
      <w:rPr>
        <w:rFonts w:ascii="Arial" w:hAnsi="Arial" w:hint="default"/>
      </w:rPr>
    </w:lvl>
    <w:lvl w:ilvl="5" w:tplc="C7D6030A" w:tentative="1">
      <w:start w:val="1"/>
      <w:numFmt w:val="bullet"/>
      <w:lvlText w:val="•"/>
      <w:lvlJc w:val="left"/>
      <w:pPr>
        <w:tabs>
          <w:tab w:val="num" w:pos="4320"/>
        </w:tabs>
        <w:ind w:left="4320" w:hanging="360"/>
      </w:pPr>
      <w:rPr>
        <w:rFonts w:ascii="Arial" w:hAnsi="Arial" w:hint="default"/>
      </w:rPr>
    </w:lvl>
    <w:lvl w:ilvl="6" w:tplc="D45C7A3E" w:tentative="1">
      <w:start w:val="1"/>
      <w:numFmt w:val="bullet"/>
      <w:lvlText w:val="•"/>
      <w:lvlJc w:val="left"/>
      <w:pPr>
        <w:tabs>
          <w:tab w:val="num" w:pos="5040"/>
        </w:tabs>
        <w:ind w:left="5040" w:hanging="360"/>
      </w:pPr>
      <w:rPr>
        <w:rFonts w:ascii="Arial" w:hAnsi="Arial" w:hint="default"/>
      </w:rPr>
    </w:lvl>
    <w:lvl w:ilvl="7" w:tplc="0240997C" w:tentative="1">
      <w:start w:val="1"/>
      <w:numFmt w:val="bullet"/>
      <w:lvlText w:val="•"/>
      <w:lvlJc w:val="left"/>
      <w:pPr>
        <w:tabs>
          <w:tab w:val="num" w:pos="5760"/>
        </w:tabs>
        <w:ind w:left="5760" w:hanging="360"/>
      </w:pPr>
      <w:rPr>
        <w:rFonts w:ascii="Arial" w:hAnsi="Arial" w:hint="default"/>
      </w:rPr>
    </w:lvl>
    <w:lvl w:ilvl="8" w:tplc="CC80D812"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3"/>
  </w:num>
  <w:num w:numId="4" w16cid:durableId="199124208">
    <w:abstractNumId w:val="16"/>
  </w:num>
  <w:num w:numId="5" w16cid:durableId="630793192">
    <w:abstractNumId w:val="14"/>
  </w:num>
  <w:num w:numId="6" w16cid:durableId="1154301696">
    <w:abstractNumId w:val="18"/>
  </w:num>
  <w:num w:numId="7" w16cid:durableId="1489399165">
    <w:abstractNumId w:val="1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24930267">
    <w:abstractNumId w:val="11"/>
  </w:num>
  <w:num w:numId="19" w16cid:durableId="2086754006">
    <w:abstractNumId w:val="21"/>
  </w:num>
  <w:num w:numId="20" w16cid:durableId="1613973753">
    <w:abstractNumId w:val="17"/>
  </w:num>
  <w:num w:numId="21" w16cid:durableId="349063698">
    <w:abstractNumId w:val="20"/>
  </w:num>
  <w:num w:numId="22" w16cid:durableId="893007050">
    <w:abstractNumId w:val="15"/>
  </w:num>
  <w:num w:numId="23" w16cid:durableId="1184174574">
    <w:abstractNumId w:val="12"/>
  </w:num>
  <w:num w:numId="24" w16cid:durableId="17668802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F00"/>
    <w:rsid w:val="00003BB5"/>
    <w:rsid w:val="00003C00"/>
    <w:rsid w:val="0000617D"/>
    <w:rsid w:val="00006C10"/>
    <w:rsid w:val="00011854"/>
    <w:rsid w:val="000145A1"/>
    <w:rsid w:val="00016557"/>
    <w:rsid w:val="00023C40"/>
    <w:rsid w:val="0002507D"/>
    <w:rsid w:val="00033397"/>
    <w:rsid w:val="00040095"/>
    <w:rsid w:val="000418DD"/>
    <w:rsid w:val="00052469"/>
    <w:rsid w:val="00060765"/>
    <w:rsid w:val="00061824"/>
    <w:rsid w:val="00065268"/>
    <w:rsid w:val="00067EEF"/>
    <w:rsid w:val="00073C9C"/>
    <w:rsid w:val="00076412"/>
    <w:rsid w:val="00080512"/>
    <w:rsid w:val="00090468"/>
    <w:rsid w:val="00094568"/>
    <w:rsid w:val="000A7E80"/>
    <w:rsid w:val="000B0A68"/>
    <w:rsid w:val="000B1820"/>
    <w:rsid w:val="000B2328"/>
    <w:rsid w:val="000B6DD0"/>
    <w:rsid w:val="000B7BCF"/>
    <w:rsid w:val="000C2328"/>
    <w:rsid w:val="000C35A0"/>
    <w:rsid w:val="000C3871"/>
    <w:rsid w:val="000C522B"/>
    <w:rsid w:val="000D0521"/>
    <w:rsid w:val="000D3DFC"/>
    <w:rsid w:val="000D58AB"/>
    <w:rsid w:val="000D7E18"/>
    <w:rsid w:val="000E0FE9"/>
    <w:rsid w:val="000E3E70"/>
    <w:rsid w:val="000F1A0B"/>
    <w:rsid w:val="000F64B8"/>
    <w:rsid w:val="00112F1A"/>
    <w:rsid w:val="001133A8"/>
    <w:rsid w:val="00116D90"/>
    <w:rsid w:val="00117151"/>
    <w:rsid w:val="0012610D"/>
    <w:rsid w:val="001348F3"/>
    <w:rsid w:val="00145075"/>
    <w:rsid w:val="00145969"/>
    <w:rsid w:val="001476FE"/>
    <w:rsid w:val="0015455C"/>
    <w:rsid w:val="00155F26"/>
    <w:rsid w:val="00160903"/>
    <w:rsid w:val="00161E7D"/>
    <w:rsid w:val="00163A64"/>
    <w:rsid w:val="001741A0"/>
    <w:rsid w:val="00175745"/>
    <w:rsid w:val="00175FA0"/>
    <w:rsid w:val="0018542A"/>
    <w:rsid w:val="00186352"/>
    <w:rsid w:val="0019058A"/>
    <w:rsid w:val="00191338"/>
    <w:rsid w:val="00194CD0"/>
    <w:rsid w:val="00195C89"/>
    <w:rsid w:val="001A570F"/>
    <w:rsid w:val="001B49C9"/>
    <w:rsid w:val="001C23F4"/>
    <w:rsid w:val="001C4F79"/>
    <w:rsid w:val="001D2A3F"/>
    <w:rsid w:val="001E3ACA"/>
    <w:rsid w:val="001F168B"/>
    <w:rsid w:val="001F555E"/>
    <w:rsid w:val="001F7831"/>
    <w:rsid w:val="00204045"/>
    <w:rsid w:val="00204C9F"/>
    <w:rsid w:val="0020712B"/>
    <w:rsid w:val="00213052"/>
    <w:rsid w:val="00215F42"/>
    <w:rsid w:val="0021716B"/>
    <w:rsid w:val="00217467"/>
    <w:rsid w:val="002220F5"/>
    <w:rsid w:val="0022348C"/>
    <w:rsid w:val="002257F9"/>
    <w:rsid w:val="00225939"/>
    <w:rsid w:val="0022606D"/>
    <w:rsid w:val="00226F1B"/>
    <w:rsid w:val="00230FD3"/>
    <w:rsid w:val="00231728"/>
    <w:rsid w:val="00233976"/>
    <w:rsid w:val="00240990"/>
    <w:rsid w:val="0024373A"/>
    <w:rsid w:val="00244A05"/>
    <w:rsid w:val="00245472"/>
    <w:rsid w:val="00245D6E"/>
    <w:rsid w:val="0024653A"/>
    <w:rsid w:val="00247A4C"/>
    <w:rsid w:val="00250404"/>
    <w:rsid w:val="002511CE"/>
    <w:rsid w:val="00253F03"/>
    <w:rsid w:val="00256B74"/>
    <w:rsid w:val="002576AB"/>
    <w:rsid w:val="002610D8"/>
    <w:rsid w:val="002654E7"/>
    <w:rsid w:val="002662FF"/>
    <w:rsid w:val="0026707B"/>
    <w:rsid w:val="0026792A"/>
    <w:rsid w:val="0027138F"/>
    <w:rsid w:val="002747EC"/>
    <w:rsid w:val="00274FE7"/>
    <w:rsid w:val="002855BF"/>
    <w:rsid w:val="00290A7C"/>
    <w:rsid w:val="00291205"/>
    <w:rsid w:val="002A4F7C"/>
    <w:rsid w:val="002A5DAE"/>
    <w:rsid w:val="002B2988"/>
    <w:rsid w:val="002B7560"/>
    <w:rsid w:val="002C06FC"/>
    <w:rsid w:val="002C1480"/>
    <w:rsid w:val="002C69B1"/>
    <w:rsid w:val="002D0140"/>
    <w:rsid w:val="002D2A81"/>
    <w:rsid w:val="002D2F78"/>
    <w:rsid w:val="002D3E8E"/>
    <w:rsid w:val="002D3F09"/>
    <w:rsid w:val="002D50C8"/>
    <w:rsid w:val="002F0D22"/>
    <w:rsid w:val="002F436A"/>
    <w:rsid w:val="002F6E3F"/>
    <w:rsid w:val="002F712A"/>
    <w:rsid w:val="00311B17"/>
    <w:rsid w:val="00311B89"/>
    <w:rsid w:val="0031206B"/>
    <w:rsid w:val="00312F0C"/>
    <w:rsid w:val="003150CF"/>
    <w:rsid w:val="00315FA8"/>
    <w:rsid w:val="003172DC"/>
    <w:rsid w:val="00325AE3"/>
    <w:rsid w:val="00326069"/>
    <w:rsid w:val="003312D0"/>
    <w:rsid w:val="00345484"/>
    <w:rsid w:val="00345C15"/>
    <w:rsid w:val="0035398F"/>
    <w:rsid w:val="0035462D"/>
    <w:rsid w:val="0035495D"/>
    <w:rsid w:val="00355B4B"/>
    <w:rsid w:val="0036459E"/>
    <w:rsid w:val="00364B41"/>
    <w:rsid w:val="0036661D"/>
    <w:rsid w:val="003674D1"/>
    <w:rsid w:val="00376FD7"/>
    <w:rsid w:val="00383096"/>
    <w:rsid w:val="00390B84"/>
    <w:rsid w:val="0039346C"/>
    <w:rsid w:val="00397220"/>
    <w:rsid w:val="003975B1"/>
    <w:rsid w:val="003A41EF"/>
    <w:rsid w:val="003A4ED8"/>
    <w:rsid w:val="003A65C6"/>
    <w:rsid w:val="003B0D3D"/>
    <w:rsid w:val="003B17F2"/>
    <w:rsid w:val="003B3CB5"/>
    <w:rsid w:val="003B40AD"/>
    <w:rsid w:val="003B68EC"/>
    <w:rsid w:val="003C2B07"/>
    <w:rsid w:val="003C3D6F"/>
    <w:rsid w:val="003C4E37"/>
    <w:rsid w:val="003D0FD0"/>
    <w:rsid w:val="003D100D"/>
    <w:rsid w:val="003D4F74"/>
    <w:rsid w:val="003D6B42"/>
    <w:rsid w:val="003D7AAB"/>
    <w:rsid w:val="003E16BE"/>
    <w:rsid w:val="003E1B9D"/>
    <w:rsid w:val="003F4E28"/>
    <w:rsid w:val="003F76B6"/>
    <w:rsid w:val="004006E8"/>
    <w:rsid w:val="00401855"/>
    <w:rsid w:val="004048BB"/>
    <w:rsid w:val="00410547"/>
    <w:rsid w:val="00435CA8"/>
    <w:rsid w:val="004440D2"/>
    <w:rsid w:val="00446C3A"/>
    <w:rsid w:val="00455654"/>
    <w:rsid w:val="00461EF6"/>
    <w:rsid w:val="00462A33"/>
    <w:rsid w:val="004634C1"/>
    <w:rsid w:val="0046515B"/>
    <w:rsid w:val="00465587"/>
    <w:rsid w:val="00466616"/>
    <w:rsid w:val="00471418"/>
    <w:rsid w:val="00474ABB"/>
    <w:rsid w:val="00475A5D"/>
    <w:rsid w:val="00476072"/>
    <w:rsid w:val="00477455"/>
    <w:rsid w:val="00483950"/>
    <w:rsid w:val="00496CA7"/>
    <w:rsid w:val="004A1F7B"/>
    <w:rsid w:val="004A7DDA"/>
    <w:rsid w:val="004C2F8F"/>
    <w:rsid w:val="004C4317"/>
    <w:rsid w:val="004C44D2"/>
    <w:rsid w:val="004C73A6"/>
    <w:rsid w:val="004D2DC6"/>
    <w:rsid w:val="004D3578"/>
    <w:rsid w:val="004D380D"/>
    <w:rsid w:val="004E00CA"/>
    <w:rsid w:val="004E213A"/>
    <w:rsid w:val="004E3037"/>
    <w:rsid w:val="004E7553"/>
    <w:rsid w:val="004F4540"/>
    <w:rsid w:val="004F4A06"/>
    <w:rsid w:val="004F6827"/>
    <w:rsid w:val="004F73A7"/>
    <w:rsid w:val="00500AC5"/>
    <w:rsid w:val="00501B95"/>
    <w:rsid w:val="00503171"/>
    <w:rsid w:val="00506C28"/>
    <w:rsid w:val="00506D17"/>
    <w:rsid w:val="0051162E"/>
    <w:rsid w:val="00524297"/>
    <w:rsid w:val="00524BCD"/>
    <w:rsid w:val="005323B7"/>
    <w:rsid w:val="00534DA0"/>
    <w:rsid w:val="005374AB"/>
    <w:rsid w:val="00537809"/>
    <w:rsid w:val="00541A65"/>
    <w:rsid w:val="005432D9"/>
    <w:rsid w:val="00543E6C"/>
    <w:rsid w:val="005473ED"/>
    <w:rsid w:val="00556CEF"/>
    <w:rsid w:val="00560B24"/>
    <w:rsid w:val="005646A4"/>
    <w:rsid w:val="00565087"/>
    <w:rsid w:val="0056573F"/>
    <w:rsid w:val="00567691"/>
    <w:rsid w:val="005710C6"/>
    <w:rsid w:val="00571279"/>
    <w:rsid w:val="00573250"/>
    <w:rsid w:val="00575FC5"/>
    <w:rsid w:val="005860E8"/>
    <w:rsid w:val="0058744A"/>
    <w:rsid w:val="005909FB"/>
    <w:rsid w:val="005942C6"/>
    <w:rsid w:val="00595AEC"/>
    <w:rsid w:val="00595F62"/>
    <w:rsid w:val="00596105"/>
    <w:rsid w:val="005A13AB"/>
    <w:rsid w:val="005A49C6"/>
    <w:rsid w:val="005A5862"/>
    <w:rsid w:val="005A5975"/>
    <w:rsid w:val="005B0A9F"/>
    <w:rsid w:val="005B1CF5"/>
    <w:rsid w:val="005B4C3F"/>
    <w:rsid w:val="005C0E92"/>
    <w:rsid w:val="005C625D"/>
    <w:rsid w:val="005C6318"/>
    <w:rsid w:val="005C766E"/>
    <w:rsid w:val="005C7CD5"/>
    <w:rsid w:val="005D25FD"/>
    <w:rsid w:val="005D260C"/>
    <w:rsid w:val="005D5846"/>
    <w:rsid w:val="005E0B7F"/>
    <w:rsid w:val="005E3AD8"/>
    <w:rsid w:val="005E4D20"/>
    <w:rsid w:val="005E5382"/>
    <w:rsid w:val="005E76CC"/>
    <w:rsid w:val="005F07F6"/>
    <w:rsid w:val="006042D6"/>
    <w:rsid w:val="00611566"/>
    <w:rsid w:val="00611703"/>
    <w:rsid w:val="006121AD"/>
    <w:rsid w:val="00621AC7"/>
    <w:rsid w:val="00621DA1"/>
    <w:rsid w:val="00622B9B"/>
    <w:rsid w:val="00625E74"/>
    <w:rsid w:val="00630228"/>
    <w:rsid w:val="00630273"/>
    <w:rsid w:val="006328AE"/>
    <w:rsid w:val="00633BC4"/>
    <w:rsid w:val="00634991"/>
    <w:rsid w:val="00635E31"/>
    <w:rsid w:val="00635EC8"/>
    <w:rsid w:val="00643FF5"/>
    <w:rsid w:val="00646D99"/>
    <w:rsid w:val="0065091A"/>
    <w:rsid w:val="00652764"/>
    <w:rsid w:val="0065550D"/>
    <w:rsid w:val="00655F11"/>
    <w:rsid w:val="00656910"/>
    <w:rsid w:val="006574C0"/>
    <w:rsid w:val="006609D1"/>
    <w:rsid w:val="00664F33"/>
    <w:rsid w:val="0066507B"/>
    <w:rsid w:val="00666C94"/>
    <w:rsid w:val="00670B9D"/>
    <w:rsid w:val="006803CF"/>
    <w:rsid w:val="00680E7C"/>
    <w:rsid w:val="00681EF6"/>
    <w:rsid w:val="00694BC0"/>
    <w:rsid w:val="00696821"/>
    <w:rsid w:val="006978EE"/>
    <w:rsid w:val="006A307A"/>
    <w:rsid w:val="006A3F23"/>
    <w:rsid w:val="006A7978"/>
    <w:rsid w:val="006B1D0A"/>
    <w:rsid w:val="006B61CA"/>
    <w:rsid w:val="006C0901"/>
    <w:rsid w:val="006C4295"/>
    <w:rsid w:val="006C55DF"/>
    <w:rsid w:val="006C66D8"/>
    <w:rsid w:val="006D1E24"/>
    <w:rsid w:val="006D35DE"/>
    <w:rsid w:val="006E1057"/>
    <w:rsid w:val="006E11CB"/>
    <w:rsid w:val="006E1417"/>
    <w:rsid w:val="006E4DD3"/>
    <w:rsid w:val="006F3EC4"/>
    <w:rsid w:val="006F6014"/>
    <w:rsid w:val="006F6A2C"/>
    <w:rsid w:val="00700557"/>
    <w:rsid w:val="00700678"/>
    <w:rsid w:val="007069DC"/>
    <w:rsid w:val="00710201"/>
    <w:rsid w:val="0071223C"/>
    <w:rsid w:val="00713BC0"/>
    <w:rsid w:val="007142FD"/>
    <w:rsid w:val="0072073A"/>
    <w:rsid w:val="00723B23"/>
    <w:rsid w:val="00726F0E"/>
    <w:rsid w:val="0073044F"/>
    <w:rsid w:val="007320BF"/>
    <w:rsid w:val="007321EF"/>
    <w:rsid w:val="007342B5"/>
    <w:rsid w:val="00734A5B"/>
    <w:rsid w:val="00734FB8"/>
    <w:rsid w:val="00737A38"/>
    <w:rsid w:val="00744E76"/>
    <w:rsid w:val="00746877"/>
    <w:rsid w:val="00751DFC"/>
    <w:rsid w:val="007527AA"/>
    <w:rsid w:val="0075728C"/>
    <w:rsid w:val="00757D40"/>
    <w:rsid w:val="00760319"/>
    <w:rsid w:val="007610C8"/>
    <w:rsid w:val="007662B5"/>
    <w:rsid w:val="007755D9"/>
    <w:rsid w:val="0077697C"/>
    <w:rsid w:val="00781F0F"/>
    <w:rsid w:val="0078727C"/>
    <w:rsid w:val="0079049D"/>
    <w:rsid w:val="00791E08"/>
    <w:rsid w:val="007921F7"/>
    <w:rsid w:val="00792BEF"/>
    <w:rsid w:val="00793DC5"/>
    <w:rsid w:val="00796823"/>
    <w:rsid w:val="00796EEE"/>
    <w:rsid w:val="007A2E55"/>
    <w:rsid w:val="007A37EF"/>
    <w:rsid w:val="007A44B6"/>
    <w:rsid w:val="007A6C62"/>
    <w:rsid w:val="007A6DC8"/>
    <w:rsid w:val="007B18D8"/>
    <w:rsid w:val="007B2162"/>
    <w:rsid w:val="007C095F"/>
    <w:rsid w:val="007C2DD0"/>
    <w:rsid w:val="007C5335"/>
    <w:rsid w:val="007D72FB"/>
    <w:rsid w:val="007E3428"/>
    <w:rsid w:val="007F0603"/>
    <w:rsid w:val="007F0857"/>
    <w:rsid w:val="007F2E08"/>
    <w:rsid w:val="007F6FF9"/>
    <w:rsid w:val="008024FA"/>
    <w:rsid w:val="008028A4"/>
    <w:rsid w:val="00813245"/>
    <w:rsid w:val="00822BF5"/>
    <w:rsid w:val="008278EF"/>
    <w:rsid w:val="008312DF"/>
    <w:rsid w:val="00837FE5"/>
    <w:rsid w:val="00840DE0"/>
    <w:rsid w:val="00847CD0"/>
    <w:rsid w:val="008563A6"/>
    <w:rsid w:val="008607A8"/>
    <w:rsid w:val="0086354A"/>
    <w:rsid w:val="00870D3E"/>
    <w:rsid w:val="00870E30"/>
    <w:rsid w:val="008750AC"/>
    <w:rsid w:val="008768CA"/>
    <w:rsid w:val="00877EF9"/>
    <w:rsid w:val="00880559"/>
    <w:rsid w:val="00890EB8"/>
    <w:rsid w:val="00896A8C"/>
    <w:rsid w:val="008A0D40"/>
    <w:rsid w:val="008A343E"/>
    <w:rsid w:val="008B5306"/>
    <w:rsid w:val="008B549E"/>
    <w:rsid w:val="008B54E8"/>
    <w:rsid w:val="008C2E2A"/>
    <w:rsid w:val="008C3057"/>
    <w:rsid w:val="008C3884"/>
    <w:rsid w:val="008D0C8C"/>
    <w:rsid w:val="008D2E4D"/>
    <w:rsid w:val="008D3112"/>
    <w:rsid w:val="008D5D32"/>
    <w:rsid w:val="008E7441"/>
    <w:rsid w:val="008F396F"/>
    <w:rsid w:val="008F3DCD"/>
    <w:rsid w:val="008F3F02"/>
    <w:rsid w:val="008F5519"/>
    <w:rsid w:val="0090271F"/>
    <w:rsid w:val="00902DB9"/>
    <w:rsid w:val="009036D4"/>
    <w:rsid w:val="0090466A"/>
    <w:rsid w:val="00904E25"/>
    <w:rsid w:val="00905E5A"/>
    <w:rsid w:val="00907FB2"/>
    <w:rsid w:val="00911F55"/>
    <w:rsid w:val="009135C6"/>
    <w:rsid w:val="009176DF"/>
    <w:rsid w:val="009177F3"/>
    <w:rsid w:val="0092004E"/>
    <w:rsid w:val="00920EA2"/>
    <w:rsid w:val="00923655"/>
    <w:rsid w:val="009248C6"/>
    <w:rsid w:val="009277CF"/>
    <w:rsid w:val="009308C2"/>
    <w:rsid w:val="009339CB"/>
    <w:rsid w:val="0093478C"/>
    <w:rsid w:val="00936071"/>
    <w:rsid w:val="0093621C"/>
    <w:rsid w:val="00936C9E"/>
    <w:rsid w:val="009376CD"/>
    <w:rsid w:val="00937994"/>
    <w:rsid w:val="00940212"/>
    <w:rsid w:val="0094129B"/>
    <w:rsid w:val="00941B2F"/>
    <w:rsid w:val="00942EC2"/>
    <w:rsid w:val="00945830"/>
    <w:rsid w:val="00947B4D"/>
    <w:rsid w:val="00961B32"/>
    <w:rsid w:val="00962509"/>
    <w:rsid w:val="009679C8"/>
    <w:rsid w:val="0097033B"/>
    <w:rsid w:val="00970DB3"/>
    <w:rsid w:val="00971B7C"/>
    <w:rsid w:val="00972C42"/>
    <w:rsid w:val="00974BB0"/>
    <w:rsid w:val="00975BCD"/>
    <w:rsid w:val="00975FD9"/>
    <w:rsid w:val="00977DF0"/>
    <w:rsid w:val="00977E14"/>
    <w:rsid w:val="009818A2"/>
    <w:rsid w:val="0098284C"/>
    <w:rsid w:val="009861A5"/>
    <w:rsid w:val="009872B9"/>
    <w:rsid w:val="00987FE0"/>
    <w:rsid w:val="009928A9"/>
    <w:rsid w:val="00994E09"/>
    <w:rsid w:val="009A054C"/>
    <w:rsid w:val="009A0AF3"/>
    <w:rsid w:val="009A0D98"/>
    <w:rsid w:val="009A1779"/>
    <w:rsid w:val="009A6397"/>
    <w:rsid w:val="009A7699"/>
    <w:rsid w:val="009B07CD"/>
    <w:rsid w:val="009B19A7"/>
    <w:rsid w:val="009B4D26"/>
    <w:rsid w:val="009B5F6D"/>
    <w:rsid w:val="009C19E9"/>
    <w:rsid w:val="009C4D69"/>
    <w:rsid w:val="009C72B8"/>
    <w:rsid w:val="009D4729"/>
    <w:rsid w:val="009D74A6"/>
    <w:rsid w:val="009E0E87"/>
    <w:rsid w:val="009E732B"/>
    <w:rsid w:val="009F28D2"/>
    <w:rsid w:val="009F46A7"/>
    <w:rsid w:val="009F6EC3"/>
    <w:rsid w:val="00A0004B"/>
    <w:rsid w:val="00A0143D"/>
    <w:rsid w:val="00A0435B"/>
    <w:rsid w:val="00A04748"/>
    <w:rsid w:val="00A04AF2"/>
    <w:rsid w:val="00A10F02"/>
    <w:rsid w:val="00A17176"/>
    <w:rsid w:val="00A1774B"/>
    <w:rsid w:val="00A204CA"/>
    <w:rsid w:val="00A209D6"/>
    <w:rsid w:val="00A22738"/>
    <w:rsid w:val="00A22DB9"/>
    <w:rsid w:val="00A22DD6"/>
    <w:rsid w:val="00A259AA"/>
    <w:rsid w:val="00A31974"/>
    <w:rsid w:val="00A320DA"/>
    <w:rsid w:val="00A34729"/>
    <w:rsid w:val="00A36F5F"/>
    <w:rsid w:val="00A36FBA"/>
    <w:rsid w:val="00A40B30"/>
    <w:rsid w:val="00A411A0"/>
    <w:rsid w:val="00A42CF1"/>
    <w:rsid w:val="00A430EC"/>
    <w:rsid w:val="00A503BC"/>
    <w:rsid w:val="00A53724"/>
    <w:rsid w:val="00A54B2B"/>
    <w:rsid w:val="00A60B5F"/>
    <w:rsid w:val="00A624B7"/>
    <w:rsid w:val="00A6305D"/>
    <w:rsid w:val="00A63EC4"/>
    <w:rsid w:val="00A65B2D"/>
    <w:rsid w:val="00A703B6"/>
    <w:rsid w:val="00A73EAE"/>
    <w:rsid w:val="00A75D06"/>
    <w:rsid w:val="00A82346"/>
    <w:rsid w:val="00A85DEC"/>
    <w:rsid w:val="00A9671C"/>
    <w:rsid w:val="00AA01E5"/>
    <w:rsid w:val="00AA14C9"/>
    <w:rsid w:val="00AA1553"/>
    <w:rsid w:val="00AA6EA5"/>
    <w:rsid w:val="00AB3386"/>
    <w:rsid w:val="00AC01B0"/>
    <w:rsid w:val="00AC19E6"/>
    <w:rsid w:val="00AC24C9"/>
    <w:rsid w:val="00AC2E0A"/>
    <w:rsid w:val="00AC5C5B"/>
    <w:rsid w:val="00AC64C1"/>
    <w:rsid w:val="00AD13D0"/>
    <w:rsid w:val="00AD418E"/>
    <w:rsid w:val="00AD6927"/>
    <w:rsid w:val="00AD7E7C"/>
    <w:rsid w:val="00AE3E8B"/>
    <w:rsid w:val="00AE7631"/>
    <w:rsid w:val="00AF7110"/>
    <w:rsid w:val="00AF7F0A"/>
    <w:rsid w:val="00B019D8"/>
    <w:rsid w:val="00B05380"/>
    <w:rsid w:val="00B05962"/>
    <w:rsid w:val="00B13178"/>
    <w:rsid w:val="00B147F7"/>
    <w:rsid w:val="00B15449"/>
    <w:rsid w:val="00B16C2F"/>
    <w:rsid w:val="00B22275"/>
    <w:rsid w:val="00B24A7E"/>
    <w:rsid w:val="00B27303"/>
    <w:rsid w:val="00B348DE"/>
    <w:rsid w:val="00B3492A"/>
    <w:rsid w:val="00B3635C"/>
    <w:rsid w:val="00B373FD"/>
    <w:rsid w:val="00B42A90"/>
    <w:rsid w:val="00B47FD1"/>
    <w:rsid w:val="00B516BB"/>
    <w:rsid w:val="00B537E3"/>
    <w:rsid w:val="00B54BA6"/>
    <w:rsid w:val="00B56CAE"/>
    <w:rsid w:val="00B5751D"/>
    <w:rsid w:val="00B60733"/>
    <w:rsid w:val="00B60EA6"/>
    <w:rsid w:val="00B63CE0"/>
    <w:rsid w:val="00B669E9"/>
    <w:rsid w:val="00B73AC8"/>
    <w:rsid w:val="00B7538C"/>
    <w:rsid w:val="00B8214B"/>
    <w:rsid w:val="00B833F8"/>
    <w:rsid w:val="00B837FD"/>
    <w:rsid w:val="00B84DB2"/>
    <w:rsid w:val="00B87F7B"/>
    <w:rsid w:val="00B921C7"/>
    <w:rsid w:val="00B92E75"/>
    <w:rsid w:val="00BA0B0C"/>
    <w:rsid w:val="00BA5711"/>
    <w:rsid w:val="00BA5E99"/>
    <w:rsid w:val="00BB4B05"/>
    <w:rsid w:val="00BC3555"/>
    <w:rsid w:val="00BD3CBB"/>
    <w:rsid w:val="00BD5B95"/>
    <w:rsid w:val="00BE2F06"/>
    <w:rsid w:val="00BF0EC4"/>
    <w:rsid w:val="00BF1BDF"/>
    <w:rsid w:val="00BF379E"/>
    <w:rsid w:val="00BF7ED6"/>
    <w:rsid w:val="00C01849"/>
    <w:rsid w:val="00C07241"/>
    <w:rsid w:val="00C07ED5"/>
    <w:rsid w:val="00C112C8"/>
    <w:rsid w:val="00C12B51"/>
    <w:rsid w:val="00C14AA3"/>
    <w:rsid w:val="00C17172"/>
    <w:rsid w:val="00C24650"/>
    <w:rsid w:val="00C25390"/>
    <w:rsid w:val="00C25465"/>
    <w:rsid w:val="00C31806"/>
    <w:rsid w:val="00C33079"/>
    <w:rsid w:val="00C33BA6"/>
    <w:rsid w:val="00C440AF"/>
    <w:rsid w:val="00C52D44"/>
    <w:rsid w:val="00C536FD"/>
    <w:rsid w:val="00C55A12"/>
    <w:rsid w:val="00C56171"/>
    <w:rsid w:val="00C6553E"/>
    <w:rsid w:val="00C72F48"/>
    <w:rsid w:val="00C73181"/>
    <w:rsid w:val="00C77318"/>
    <w:rsid w:val="00C83A13"/>
    <w:rsid w:val="00C85FF7"/>
    <w:rsid w:val="00C86F10"/>
    <w:rsid w:val="00C9068C"/>
    <w:rsid w:val="00C92967"/>
    <w:rsid w:val="00CA3D0C"/>
    <w:rsid w:val="00CA654B"/>
    <w:rsid w:val="00CB183F"/>
    <w:rsid w:val="00CB72B8"/>
    <w:rsid w:val="00CB75BE"/>
    <w:rsid w:val="00CC6274"/>
    <w:rsid w:val="00CD0BA8"/>
    <w:rsid w:val="00CD1F63"/>
    <w:rsid w:val="00CD322E"/>
    <w:rsid w:val="00CD4C7B"/>
    <w:rsid w:val="00CD58FE"/>
    <w:rsid w:val="00CE0515"/>
    <w:rsid w:val="00CE4E2A"/>
    <w:rsid w:val="00D100A7"/>
    <w:rsid w:val="00D17214"/>
    <w:rsid w:val="00D203CA"/>
    <w:rsid w:val="00D303B1"/>
    <w:rsid w:val="00D33BE3"/>
    <w:rsid w:val="00D3792D"/>
    <w:rsid w:val="00D424BC"/>
    <w:rsid w:val="00D45DD8"/>
    <w:rsid w:val="00D54820"/>
    <w:rsid w:val="00D55E47"/>
    <w:rsid w:val="00D5710A"/>
    <w:rsid w:val="00D62E19"/>
    <w:rsid w:val="00D64BC4"/>
    <w:rsid w:val="00D6524B"/>
    <w:rsid w:val="00D67CD1"/>
    <w:rsid w:val="00D738D6"/>
    <w:rsid w:val="00D80795"/>
    <w:rsid w:val="00D842C2"/>
    <w:rsid w:val="00D854BE"/>
    <w:rsid w:val="00D86DFA"/>
    <w:rsid w:val="00D872DB"/>
    <w:rsid w:val="00D87E00"/>
    <w:rsid w:val="00D9134D"/>
    <w:rsid w:val="00D96D11"/>
    <w:rsid w:val="00DA1415"/>
    <w:rsid w:val="00DA21C5"/>
    <w:rsid w:val="00DA4E37"/>
    <w:rsid w:val="00DA7A03"/>
    <w:rsid w:val="00DB0DB8"/>
    <w:rsid w:val="00DB1818"/>
    <w:rsid w:val="00DB3959"/>
    <w:rsid w:val="00DB4E6D"/>
    <w:rsid w:val="00DB6136"/>
    <w:rsid w:val="00DC1F00"/>
    <w:rsid w:val="00DC309B"/>
    <w:rsid w:val="00DC36ED"/>
    <w:rsid w:val="00DC4DA2"/>
    <w:rsid w:val="00DC5261"/>
    <w:rsid w:val="00DC757E"/>
    <w:rsid w:val="00DC7DD5"/>
    <w:rsid w:val="00DD1890"/>
    <w:rsid w:val="00DD38F6"/>
    <w:rsid w:val="00DD700E"/>
    <w:rsid w:val="00DE25D2"/>
    <w:rsid w:val="00DE3FF2"/>
    <w:rsid w:val="00DE3FFD"/>
    <w:rsid w:val="00DE4336"/>
    <w:rsid w:val="00DE582F"/>
    <w:rsid w:val="00DF3A66"/>
    <w:rsid w:val="00DF7C20"/>
    <w:rsid w:val="00E038FB"/>
    <w:rsid w:val="00E06408"/>
    <w:rsid w:val="00E06D32"/>
    <w:rsid w:val="00E14A24"/>
    <w:rsid w:val="00E1525D"/>
    <w:rsid w:val="00E173BA"/>
    <w:rsid w:val="00E227A2"/>
    <w:rsid w:val="00E23CE6"/>
    <w:rsid w:val="00E32207"/>
    <w:rsid w:val="00E40742"/>
    <w:rsid w:val="00E4142A"/>
    <w:rsid w:val="00E42A2B"/>
    <w:rsid w:val="00E46C08"/>
    <w:rsid w:val="00E471CF"/>
    <w:rsid w:val="00E52B99"/>
    <w:rsid w:val="00E53B66"/>
    <w:rsid w:val="00E5708A"/>
    <w:rsid w:val="00E62835"/>
    <w:rsid w:val="00E63BFA"/>
    <w:rsid w:val="00E6480E"/>
    <w:rsid w:val="00E6595F"/>
    <w:rsid w:val="00E73110"/>
    <w:rsid w:val="00E741DC"/>
    <w:rsid w:val="00E750A5"/>
    <w:rsid w:val="00E77645"/>
    <w:rsid w:val="00E83697"/>
    <w:rsid w:val="00E84DFA"/>
    <w:rsid w:val="00E859B6"/>
    <w:rsid w:val="00E903BC"/>
    <w:rsid w:val="00E905A8"/>
    <w:rsid w:val="00E91768"/>
    <w:rsid w:val="00E92360"/>
    <w:rsid w:val="00EA66C9"/>
    <w:rsid w:val="00EB1286"/>
    <w:rsid w:val="00EB5D32"/>
    <w:rsid w:val="00EB7A95"/>
    <w:rsid w:val="00EC1696"/>
    <w:rsid w:val="00EC4A25"/>
    <w:rsid w:val="00ED1142"/>
    <w:rsid w:val="00ED3F9B"/>
    <w:rsid w:val="00EF5003"/>
    <w:rsid w:val="00EF612C"/>
    <w:rsid w:val="00F02572"/>
    <w:rsid w:val="00F025A2"/>
    <w:rsid w:val="00F036E9"/>
    <w:rsid w:val="00F0469B"/>
    <w:rsid w:val="00F061A1"/>
    <w:rsid w:val="00F07388"/>
    <w:rsid w:val="00F147F6"/>
    <w:rsid w:val="00F17715"/>
    <w:rsid w:val="00F2026E"/>
    <w:rsid w:val="00F22023"/>
    <w:rsid w:val="00F2210A"/>
    <w:rsid w:val="00F27341"/>
    <w:rsid w:val="00F31372"/>
    <w:rsid w:val="00F37743"/>
    <w:rsid w:val="00F40C2F"/>
    <w:rsid w:val="00F4182F"/>
    <w:rsid w:val="00F42493"/>
    <w:rsid w:val="00F42BD3"/>
    <w:rsid w:val="00F43B0B"/>
    <w:rsid w:val="00F45A29"/>
    <w:rsid w:val="00F470EA"/>
    <w:rsid w:val="00F5197F"/>
    <w:rsid w:val="00F54A3D"/>
    <w:rsid w:val="00F54CB0"/>
    <w:rsid w:val="00F579CD"/>
    <w:rsid w:val="00F6052D"/>
    <w:rsid w:val="00F653B8"/>
    <w:rsid w:val="00F673A4"/>
    <w:rsid w:val="00F710AA"/>
    <w:rsid w:val="00F71B89"/>
    <w:rsid w:val="00F7353C"/>
    <w:rsid w:val="00F76F8F"/>
    <w:rsid w:val="00F84AA4"/>
    <w:rsid w:val="00F84DC0"/>
    <w:rsid w:val="00F87048"/>
    <w:rsid w:val="00F87257"/>
    <w:rsid w:val="00F90BC7"/>
    <w:rsid w:val="00F90DD3"/>
    <w:rsid w:val="00F941DF"/>
    <w:rsid w:val="00F94556"/>
    <w:rsid w:val="00F966BC"/>
    <w:rsid w:val="00FA1266"/>
    <w:rsid w:val="00FA6124"/>
    <w:rsid w:val="00FA7AA1"/>
    <w:rsid w:val="00FB36FA"/>
    <w:rsid w:val="00FC1192"/>
    <w:rsid w:val="00FC53C8"/>
    <w:rsid w:val="00FC5722"/>
    <w:rsid w:val="00FD6DEE"/>
    <w:rsid w:val="00FD7837"/>
    <w:rsid w:val="00FE106D"/>
    <w:rsid w:val="00FE251B"/>
    <w:rsid w:val="00FE56EE"/>
    <w:rsid w:val="00FE57E0"/>
    <w:rsid w:val="00FF74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6F3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74FE7"/>
    <w:rPr>
      <w:lang w:eastAsia="en-US"/>
    </w:rPr>
  </w:style>
  <w:style w:type="character" w:styleId="Mention">
    <w:name w:val="Mention"/>
    <w:basedOn w:val="DefaultParagraphFont"/>
    <w:uiPriority w:val="99"/>
    <w:unhideWhenUsed/>
    <w:rsid w:val="0093478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92965">
      <w:bodyDiv w:val="1"/>
      <w:marLeft w:val="0"/>
      <w:marRight w:val="0"/>
      <w:marTop w:val="0"/>
      <w:marBottom w:val="0"/>
      <w:divBdr>
        <w:top w:val="none" w:sz="0" w:space="0" w:color="auto"/>
        <w:left w:val="none" w:sz="0" w:space="0" w:color="auto"/>
        <w:bottom w:val="none" w:sz="0" w:space="0" w:color="auto"/>
        <w:right w:val="none" w:sz="0" w:space="0" w:color="auto"/>
      </w:divBdr>
    </w:div>
    <w:div w:id="347098057">
      <w:bodyDiv w:val="1"/>
      <w:marLeft w:val="0"/>
      <w:marRight w:val="0"/>
      <w:marTop w:val="0"/>
      <w:marBottom w:val="0"/>
      <w:divBdr>
        <w:top w:val="none" w:sz="0" w:space="0" w:color="auto"/>
        <w:left w:val="none" w:sz="0" w:space="0" w:color="auto"/>
        <w:bottom w:val="none" w:sz="0" w:space="0" w:color="auto"/>
        <w:right w:val="none" w:sz="0" w:space="0" w:color="auto"/>
      </w:divBdr>
      <w:divsChild>
        <w:div w:id="359204809">
          <w:marLeft w:val="0"/>
          <w:marRight w:val="0"/>
          <w:marTop w:val="0"/>
          <w:marBottom w:val="0"/>
          <w:divBdr>
            <w:top w:val="none" w:sz="0" w:space="0" w:color="auto"/>
            <w:left w:val="none" w:sz="0" w:space="0" w:color="auto"/>
            <w:bottom w:val="none" w:sz="0" w:space="0" w:color="auto"/>
            <w:right w:val="none" w:sz="0" w:space="0" w:color="auto"/>
          </w:divBdr>
        </w:div>
        <w:div w:id="836383021">
          <w:marLeft w:val="0"/>
          <w:marRight w:val="0"/>
          <w:marTop w:val="0"/>
          <w:marBottom w:val="0"/>
          <w:divBdr>
            <w:top w:val="none" w:sz="0" w:space="0" w:color="auto"/>
            <w:left w:val="none" w:sz="0" w:space="0" w:color="auto"/>
            <w:bottom w:val="none" w:sz="0" w:space="0" w:color="auto"/>
            <w:right w:val="none" w:sz="0" w:space="0" w:color="auto"/>
          </w:divBdr>
        </w:div>
      </w:divsChild>
    </w:div>
    <w:div w:id="435029056">
      <w:bodyDiv w:val="1"/>
      <w:marLeft w:val="0"/>
      <w:marRight w:val="0"/>
      <w:marTop w:val="0"/>
      <w:marBottom w:val="0"/>
      <w:divBdr>
        <w:top w:val="none" w:sz="0" w:space="0" w:color="auto"/>
        <w:left w:val="none" w:sz="0" w:space="0" w:color="auto"/>
        <w:bottom w:val="none" w:sz="0" w:space="0" w:color="auto"/>
        <w:right w:val="none" w:sz="0" w:space="0" w:color="auto"/>
      </w:divBdr>
    </w:div>
    <w:div w:id="501360167">
      <w:bodyDiv w:val="1"/>
      <w:marLeft w:val="0"/>
      <w:marRight w:val="0"/>
      <w:marTop w:val="0"/>
      <w:marBottom w:val="0"/>
      <w:divBdr>
        <w:top w:val="none" w:sz="0" w:space="0" w:color="auto"/>
        <w:left w:val="none" w:sz="0" w:space="0" w:color="auto"/>
        <w:bottom w:val="none" w:sz="0" w:space="0" w:color="auto"/>
        <w:right w:val="none" w:sz="0" w:space="0" w:color="auto"/>
      </w:divBdr>
      <w:divsChild>
        <w:div w:id="250165036">
          <w:marLeft w:val="0"/>
          <w:marRight w:val="0"/>
          <w:marTop w:val="0"/>
          <w:marBottom w:val="0"/>
          <w:divBdr>
            <w:top w:val="none" w:sz="0" w:space="0" w:color="auto"/>
            <w:left w:val="none" w:sz="0" w:space="0" w:color="auto"/>
            <w:bottom w:val="none" w:sz="0" w:space="0" w:color="auto"/>
            <w:right w:val="none" w:sz="0" w:space="0" w:color="auto"/>
          </w:divBdr>
        </w:div>
        <w:div w:id="1332564885">
          <w:marLeft w:val="0"/>
          <w:marRight w:val="0"/>
          <w:marTop w:val="0"/>
          <w:marBottom w:val="0"/>
          <w:divBdr>
            <w:top w:val="none" w:sz="0" w:space="0" w:color="auto"/>
            <w:left w:val="none" w:sz="0" w:space="0" w:color="auto"/>
            <w:bottom w:val="none" w:sz="0" w:space="0" w:color="auto"/>
            <w:right w:val="none" w:sz="0" w:space="0" w:color="auto"/>
          </w:divBdr>
        </w:div>
      </w:divsChild>
    </w:div>
    <w:div w:id="513299263">
      <w:bodyDiv w:val="1"/>
      <w:marLeft w:val="0"/>
      <w:marRight w:val="0"/>
      <w:marTop w:val="0"/>
      <w:marBottom w:val="0"/>
      <w:divBdr>
        <w:top w:val="none" w:sz="0" w:space="0" w:color="auto"/>
        <w:left w:val="none" w:sz="0" w:space="0" w:color="auto"/>
        <w:bottom w:val="none" w:sz="0" w:space="0" w:color="auto"/>
        <w:right w:val="none" w:sz="0" w:space="0" w:color="auto"/>
      </w:divBdr>
    </w:div>
    <w:div w:id="718699535">
      <w:bodyDiv w:val="1"/>
      <w:marLeft w:val="0"/>
      <w:marRight w:val="0"/>
      <w:marTop w:val="0"/>
      <w:marBottom w:val="0"/>
      <w:divBdr>
        <w:top w:val="none" w:sz="0" w:space="0" w:color="auto"/>
        <w:left w:val="none" w:sz="0" w:space="0" w:color="auto"/>
        <w:bottom w:val="none" w:sz="0" w:space="0" w:color="auto"/>
        <w:right w:val="none" w:sz="0" w:space="0" w:color="auto"/>
      </w:divBdr>
    </w:div>
    <w:div w:id="744692087">
      <w:bodyDiv w:val="1"/>
      <w:marLeft w:val="0"/>
      <w:marRight w:val="0"/>
      <w:marTop w:val="0"/>
      <w:marBottom w:val="0"/>
      <w:divBdr>
        <w:top w:val="none" w:sz="0" w:space="0" w:color="auto"/>
        <w:left w:val="none" w:sz="0" w:space="0" w:color="auto"/>
        <w:bottom w:val="none" w:sz="0" w:space="0" w:color="auto"/>
        <w:right w:val="none" w:sz="0" w:space="0" w:color="auto"/>
      </w:divBdr>
      <w:divsChild>
        <w:div w:id="193156294">
          <w:marLeft w:val="187"/>
          <w:marRight w:val="0"/>
          <w:marTop w:val="0"/>
          <w:marBottom w:val="0"/>
          <w:divBdr>
            <w:top w:val="none" w:sz="0" w:space="0" w:color="auto"/>
            <w:left w:val="none" w:sz="0" w:space="0" w:color="auto"/>
            <w:bottom w:val="none" w:sz="0" w:space="0" w:color="auto"/>
            <w:right w:val="none" w:sz="0" w:space="0" w:color="auto"/>
          </w:divBdr>
        </w:div>
        <w:div w:id="902837701">
          <w:marLeft w:val="547"/>
          <w:marRight w:val="0"/>
          <w:marTop w:val="0"/>
          <w:marBottom w:val="0"/>
          <w:divBdr>
            <w:top w:val="none" w:sz="0" w:space="0" w:color="auto"/>
            <w:left w:val="none" w:sz="0" w:space="0" w:color="auto"/>
            <w:bottom w:val="none" w:sz="0" w:space="0" w:color="auto"/>
            <w:right w:val="none" w:sz="0" w:space="0" w:color="auto"/>
          </w:divBdr>
        </w:div>
        <w:div w:id="1031421600">
          <w:marLeft w:val="922"/>
          <w:marRight w:val="0"/>
          <w:marTop w:val="0"/>
          <w:marBottom w:val="0"/>
          <w:divBdr>
            <w:top w:val="none" w:sz="0" w:space="0" w:color="auto"/>
            <w:left w:val="none" w:sz="0" w:space="0" w:color="auto"/>
            <w:bottom w:val="none" w:sz="0" w:space="0" w:color="auto"/>
            <w:right w:val="none" w:sz="0" w:space="0" w:color="auto"/>
          </w:divBdr>
        </w:div>
        <w:div w:id="1217862127">
          <w:marLeft w:val="547"/>
          <w:marRight w:val="0"/>
          <w:marTop w:val="0"/>
          <w:marBottom w:val="0"/>
          <w:divBdr>
            <w:top w:val="none" w:sz="0" w:space="0" w:color="auto"/>
            <w:left w:val="none" w:sz="0" w:space="0" w:color="auto"/>
            <w:bottom w:val="none" w:sz="0" w:space="0" w:color="auto"/>
            <w:right w:val="none" w:sz="0" w:space="0" w:color="auto"/>
          </w:divBdr>
        </w:div>
      </w:divsChild>
    </w:div>
    <w:div w:id="8932783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19354605">
      <w:bodyDiv w:val="1"/>
      <w:marLeft w:val="0"/>
      <w:marRight w:val="0"/>
      <w:marTop w:val="0"/>
      <w:marBottom w:val="0"/>
      <w:divBdr>
        <w:top w:val="none" w:sz="0" w:space="0" w:color="auto"/>
        <w:left w:val="none" w:sz="0" w:space="0" w:color="auto"/>
        <w:bottom w:val="none" w:sz="0" w:space="0" w:color="auto"/>
        <w:right w:val="none" w:sz="0" w:space="0" w:color="auto"/>
      </w:divBdr>
    </w:div>
    <w:div w:id="1066101461">
      <w:bodyDiv w:val="1"/>
      <w:marLeft w:val="0"/>
      <w:marRight w:val="0"/>
      <w:marTop w:val="0"/>
      <w:marBottom w:val="0"/>
      <w:divBdr>
        <w:top w:val="none" w:sz="0" w:space="0" w:color="auto"/>
        <w:left w:val="none" w:sz="0" w:space="0" w:color="auto"/>
        <w:bottom w:val="none" w:sz="0" w:space="0" w:color="auto"/>
        <w:right w:val="none" w:sz="0" w:space="0" w:color="auto"/>
      </w:divBdr>
    </w:div>
    <w:div w:id="1139684597">
      <w:bodyDiv w:val="1"/>
      <w:marLeft w:val="0"/>
      <w:marRight w:val="0"/>
      <w:marTop w:val="0"/>
      <w:marBottom w:val="0"/>
      <w:divBdr>
        <w:top w:val="none" w:sz="0" w:space="0" w:color="auto"/>
        <w:left w:val="none" w:sz="0" w:space="0" w:color="auto"/>
        <w:bottom w:val="none" w:sz="0" w:space="0" w:color="auto"/>
        <w:right w:val="none" w:sz="0" w:space="0" w:color="auto"/>
      </w:divBdr>
    </w:div>
    <w:div w:id="1217545918">
      <w:bodyDiv w:val="1"/>
      <w:marLeft w:val="0"/>
      <w:marRight w:val="0"/>
      <w:marTop w:val="0"/>
      <w:marBottom w:val="0"/>
      <w:divBdr>
        <w:top w:val="none" w:sz="0" w:space="0" w:color="auto"/>
        <w:left w:val="none" w:sz="0" w:space="0" w:color="auto"/>
        <w:bottom w:val="none" w:sz="0" w:space="0" w:color="auto"/>
        <w:right w:val="none" w:sz="0" w:space="0" w:color="auto"/>
      </w:divBdr>
      <w:divsChild>
        <w:div w:id="713580489">
          <w:marLeft w:val="288"/>
          <w:marRight w:val="0"/>
          <w:marTop w:val="0"/>
          <w:marBottom w:val="120"/>
          <w:divBdr>
            <w:top w:val="none" w:sz="0" w:space="0" w:color="auto"/>
            <w:left w:val="none" w:sz="0" w:space="0" w:color="auto"/>
            <w:bottom w:val="none" w:sz="0" w:space="0" w:color="auto"/>
            <w:right w:val="none" w:sz="0" w:space="0" w:color="auto"/>
          </w:divBdr>
        </w:div>
        <w:div w:id="1929847024">
          <w:marLeft w:val="288"/>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695510">
      <w:bodyDiv w:val="1"/>
      <w:marLeft w:val="0"/>
      <w:marRight w:val="0"/>
      <w:marTop w:val="0"/>
      <w:marBottom w:val="0"/>
      <w:divBdr>
        <w:top w:val="none" w:sz="0" w:space="0" w:color="auto"/>
        <w:left w:val="none" w:sz="0" w:space="0" w:color="auto"/>
        <w:bottom w:val="none" w:sz="0" w:space="0" w:color="auto"/>
        <w:right w:val="none" w:sz="0" w:space="0" w:color="auto"/>
      </w:divBdr>
      <w:divsChild>
        <w:div w:id="1889220283">
          <w:marLeft w:val="187"/>
          <w:marRight w:val="0"/>
          <w:marTop w:val="0"/>
          <w:marBottom w:val="0"/>
          <w:divBdr>
            <w:top w:val="none" w:sz="0" w:space="0" w:color="auto"/>
            <w:left w:val="none" w:sz="0" w:space="0" w:color="auto"/>
            <w:bottom w:val="none" w:sz="0" w:space="0" w:color="auto"/>
            <w:right w:val="none" w:sz="0" w:space="0" w:color="auto"/>
          </w:divBdr>
        </w:div>
        <w:div w:id="2020425030">
          <w:marLeft w:val="547"/>
          <w:marRight w:val="0"/>
          <w:marTop w:val="0"/>
          <w:marBottom w:val="0"/>
          <w:divBdr>
            <w:top w:val="none" w:sz="0" w:space="0" w:color="auto"/>
            <w:left w:val="none" w:sz="0" w:space="0" w:color="auto"/>
            <w:bottom w:val="none" w:sz="0" w:space="0" w:color="auto"/>
            <w:right w:val="none" w:sz="0" w:space="0" w:color="auto"/>
          </w:divBdr>
        </w:div>
      </w:divsChild>
    </w:div>
    <w:div w:id="1418941335">
      <w:bodyDiv w:val="1"/>
      <w:marLeft w:val="0"/>
      <w:marRight w:val="0"/>
      <w:marTop w:val="0"/>
      <w:marBottom w:val="0"/>
      <w:divBdr>
        <w:top w:val="none" w:sz="0" w:space="0" w:color="auto"/>
        <w:left w:val="none" w:sz="0" w:space="0" w:color="auto"/>
        <w:bottom w:val="none" w:sz="0" w:space="0" w:color="auto"/>
        <w:right w:val="none" w:sz="0" w:space="0" w:color="auto"/>
      </w:divBdr>
    </w:div>
    <w:div w:id="1423451510">
      <w:bodyDiv w:val="1"/>
      <w:marLeft w:val="0"/>
      <w:marRight w:val="0"/>
      <w:marTop w:val="0"/>
      <w:marBottom w:val="0"/>
      <w:divBdr>
        <w:top w:val="none" w:sz="0" w:space="0" w:color="auto"/>
        <w:left w:val="none" w:sz="0" w:space="0" w:color="auto"/>
        <w:bottom w:val="none" w:sz="0" w:space="0" w:color="auto"/>
        <w:right w:val="none" w:sz="0" w:space="0" w:color="auto"/>
      </w:divBdr>
    </w:div>
    <w:div w:id="1470051778">
      <w:bodyDiv w:val="1"/>
      <w:marLeft w:val="0"/>
      <w:marRight w:val="0"/>
      <w:marTop w:val="0"/>
      <w:marBottom w:val="0"/>
      <w:divBdr>
        <w:top w:val="none" w:sz="0" w:space="0" w:color="auto"/>
        <w:left w:val="none" w:sz="0" w:space="0" w:color="auto"/>
        <w:bottom w:val="none" w:sz="0" w:space="0" w:color="auto"/>
        <w:right w:val="none" w:sz="0" w:space="0" w:color="auto"/>
      </w:divBdr>
    </w:div>
    <w:div w:id="1544291125">
      <w:bodyDiv w:val="1"/>
      <w:marLeft w:val="0"/>
      <w:marRight w:val="0"/>
      <w:marTop w:val="0"/>
      <w:marBottom w:val="0"/>
      <w:divBdr>
        <w:top w:val="none" w:sz="0" w:space="0" w:color="auto"/>
        <w:left w:val="none" w:sz="0" w:space="0" w:color="auto"/>
        <w:bottom w:val="none" w:sz="0" w:space="0" w:color="auto"/>
        <w:right w:val="none" w:sz="0" w:space="0" w:color="auto"/>
      </w:divBdr>
    </w:div>
    <w:div w:id="212876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4A31-7992-44D2-832E-6D1818FA30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2120</Words>
  <Characters>12090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14182</CharactersWithSpaces>
  <SharedDoc>false</SharedDoc>
  <HyperlinkBase/>
  <HLinks>
    <vt:vector size="12" baseType="variant">
      <vt:variant>
        <vt:i4>7733269</vt:i4>
      </vt:variant>
      <vt:variant>
        <vt:i4>3</vt:i4>
      </vt:variant>
      <vt:variant>
        <vt:i4>0</vt:i4>
      </vt:variant>
      <vt:variant>
        <vt:i4>5</vt:i4>
      </vt:variant>
      <vt:variant>
        <vt:lpwstr>mailto:frank.frederiksen@nokia.com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2025-03-28T07:32:00Z</dcterms:created>
  <dcterms:modified xsi:type="dcterms:W3CDTF">2025-03-28T08:45:00Z</dcterms:modified>
  <cp:category/>
</cp:coreProperties>
</file>